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PERCEPTIVE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LeonaBio, Inc.</w:t>
              </w:r>
            </w:hyperlink>
            <w:r>
              <w:rPr/>
              <w:t xml:space="preserve"> [ </w:t>
            </w:r>
            <w:r>
              <w:rPr>
                <w:rFonts w:ascii="Times;serif" w:hAnsi="Times;serif"/>
                <w:color w:val="0000FF"/>
                <w:sz w:val="24"/>
                <w:shd w:fill="FFFFFF" w:val="clear"/>
              </w:rPr>
              <w:t>LONA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90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8.35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PERCEPTIVE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EDELMAN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 10TH FL</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PERCEPTIVE LIFE SCIENCES MASTER FUND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will vest on the earlier of (i) June 23, 2027, or (ii) the day immediately before the date of the next annual meeting of the Issuer's stockholders that occurs after June 22, 2026. The option reported was granted pursuant to the terms of the Issuer's Outside Director Compensation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Joseph Edelman ("Mr. Edelman") is the managing member of Perceptive Advisors LLC (the "Advisor"). The Advisor serves as the investment manager of Perceptive Life Sciences Master Fund Ltd. (the "Master Fund"). The Advisor may be deemed to have an indirect pecuniary interest in the securities reported herein because the Advisor has the right to receive the director compensation provided in respect of Mr. Edelman's board service through a partial management fee offset. Each of the Master Fund and the Advisor disclaim, for purposes of Section 16 of the Securities Exchange Act of 1934, beneficial ownership of such securities, except to the extent of its indirect pecuniary interest therein, and this report shall not be deemed an admission that either the Master Fund or the Advisor is the beneficial owner of such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Edelman - for Perceptive Advisors LLC, By: Joseph Edelman,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Edelman - for Perceptive Life Sciences Master Fund Ltd., By: Perceptive Advisors LLC, its investment manager, By: Joseph Edelman,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Edelman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4962" TargetMode="External"/><Relationship Id="rId5" Type="http://schemas.openxmlformats.org/officeDocument/2006/relationships/hyperlink" Target="http://www.sec.gov/cgi-bin/browse-edgar?action=getcompany&amp;CIK=00016204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224962" TargetMode="External"/><Relationship Id="rId10" Type="http://schemas.openxmlformats.org/officeDocument/2006/relationships/hyperlink" Target="http://www.sec.gov/cgi-bin/browse-edgar?action=getcompany&amp;CIK=0001164426" TargetMode="External"/><Relationship Id="rId11" Type="http://schemas.openxmlformats.org/officeDocument/2006/relationships/hyperlink" Target="http://www.sec.gov/cgi-bin/browse-edgar?action=getcompany&amp;CIK=0001249675"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886</Words>
  <Characters>4732</Characters>
  <CharactersWithSpaces>5516</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