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lona-20260630.htm"/>
      <w:bookmarkStart w:id="1" w:name="kslona20260630"/>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quarterly period ended June 30, 2026</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LeonaBio,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LONA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August 12, 2026, there were 9,421,663</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r>
    </w:tbl>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This report includes our trademarks and registered trademarks, including LeonaBio,Inc logo, and other trademarks or service marks of LeonaBio. Each other trademark, trade name or service mark appearing in this report belongs to its holder.</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spacing w:before="12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like brelgometon (formerly known as ATH-1105) is based on a novel therapeutic approach, which exposes us to unforeseen risks. We have limited data from preclinical studies and clinical trials to date, including for brelgometon,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lasofoxifene or brelgometon may never lead to marketable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Treatment of central and peripheral nervous system degenerative disorders is a field that has seen very limited success in product development and our research and development efforts may be unsuccessful.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no marketed proprietary products and have not yet completed any Phase 3 clinical trials, which makes it difficult to assess our ability to develop our future product candidates and commercialize any resulting products independently.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be successful in integrating lasofoxifene into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 eliminate our drug product development programs, commercialization efforts or other operations.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 a result of our failure to timely file a Current Report on Form 8-K, we are currently ineligible to file or use registration statements on Form S-3, which may impair our ability to raise capital on terms favorable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Future sales, or the perception of future sales, of a substantial amount of our common stock could depress the trading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previously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24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5"/>
        <w:gridCol w:w="146"/>
        <w:gridCol w:w="211"/>
        <w:gridCol w:w="856"/>
        <w:gridCol w:w="166"/>
        <w:gridCol w:w="146"/>
        <w:gridCol w:w="271"/>
        <w:gridCol w:w="1102"/>
        <w:gridCol w:w="772"/>
      </w:tblGrid>
      <w:tr>
        <w:trPr/>
        <w:tc>
          <w:tcPr>
            <w:tcW w:w="6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89,458</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4,587</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47,503</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1,404</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64,361</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400,000,000</w:t>
            </w:r>
            <w:r>
              <w:rPr>
                <w:rFonts w:ascii="Times New Roman" w:hAnsi="Times New Roman"/>
                <w:color w:val="000000"/>
                <w:sz w:val="20"/>
              </w:rPr>
              <w:t> </w:t>
            </w:r>
            <w:r>
              <w:rPr>
                <w:rFonts w:ascii="Arial" w:hAnsi="Arial"/>
                <w:color w:val="000000"/>
                <w:sz w:val="20"/>
              </w:rPr>
              <w:t>and 90,000,000</w:t>
            </w:r>
            <w:r>
              <w:rPr>
                <w:rFonts w:ascii="Times New Roman" w:hAnsi="Times New Roman"/>
                <w:color w:val="000000"/>
                <w:sz w:val="20"/>
              </w:rPr>
              <w:t> </w:t>
            </w:r>
            <w:r>
              <w:rPr>
                <w:rFonts w:ascii="Arial" w:hAnsi="Arial"/>
                <w:color w:val="000000"/>
                <w:sz w:val="20"/>
              </w:rPr>
              <w:t xml:space="preserve">shares </w:t>
              <w:br/>
              <w:t xml:space="preserve">authorized at June 30, 2026 and December 31, 2025, </w:t>
              <w:br/>
              <w:t>respectively; 9,421,663</w:t>
            </w:r>
            <w:r>
              <w:rPr>
                <w:rFonts w:ascii="Times New Roman" w:hAnsi="Times New Roman"/>
                <w:color w:val="000000"/>
                <w:sz w:val="20"/>
              </w:rPr>
              <w:t> </w:t>
            </w:r>
            <w:r>
              <w:rPr>
                <w:rFonts w:ascii="Arial" w:hAnsi="Arial"/>
                <w:color w:val="000000"/>
                <w:sz w:val="20"/>
              </w:rPr>
              <w:t>and 9,335,913</w:t>
            </w:r>
            <w:r>
              <w:rPr>
                <w:rFonts w:ascii="Times New Roman" w:hAnsi="Times New Roman"/>
                <w:color w:val="000000"/>
                <w:sz w:val="20"/>
              </w:rPr>
              <w:t> </w:t>
            </w:r>
            <w:r>
              <w:rPr>
                <w:rFonts w:ascii="Arial" w:hAnsi="Arial"/>
                <w:color w:val="000000"/>
                <w:sz w:val="20"/>
              </w:rPr>
              <w:t xml:space="preserve">shares issued and </w:t>
              <w:br/>
              <w:t>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539,548</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(511,755</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27,790</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4"/>
        <w:gridCol w:w="146"/>
        <w:gridCol w:w="211"/>
        <w:gridCol w:w="1066"/>
        <w:gridCol w:w="166"/>
        <w:gridCol w:w="146"/>
        <w:gridCol w:w="211"/>
        <w:gridCol w:w="961"/>
        <w:gridCol w:w="166"/>
        <w:gridCol w:w="146"/>
        <w:gridCol w:w="211"/>
        <w:gridCol w:w="1066"/>
        <w:gridCol w:w="166"/>
        <w:gridCol w:w="146"/>
        <w:gridCol w:w="211"/>
        <w:gridCol w:w="961"/>
        <w:gridCol w:w="751"/>
      </w:tblGrid>
      <w:tr>
        <w:trPr/>
        <w:tc>
          <w:tcPr>
            <w:tcW w:w="3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(16,113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23,726,211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21,389,630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3,930,991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w:t>
      </w:r>
      <w:r>
        <w:rPr>
          <w:rFonts w:ascii="Arial" w:hAnsi="Arial"/>
          <w:color w:val="000000"/>
          <w:sz w:val="20"/>
        </w:rPr>
        <w:t xml:space="preserve"> </w:t>
      </w:r>
      <w:r>
        <w:rPr>
          <w:rFonts w:ascii="Arial" w:hAnsi="Arial"/>
          <w:i/>
          <w:color w:val="000000"/>
          <w:sz w:val="20"/>
        </w:rPr>
        <w:t>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Six Months Ended June 30, 2026 and 2025</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25"/>
        <w:gridCol w:w="146"/>
        <w:gridCol w:w="146"/>
        <w:gridCol w:w="826"/>
        <w:gridCol w:w="146"/>
        <w:gridCol w:w="146"/>
        <w:gridCol w:w="271"/>
        <w:gridCol w:w="480"/>
        <w:gridCol w:w="146"/>
        <w:gridCol w:w="146"/>
        <w:gridCol w:w="205"/>
        <w:gridCol w:w="726"/>
        <w:gridCol w:w="146"/>
        <w:gridCol w:w="146"/>
        <w:gridCol w:w="488"/>
        <w:gridCol w:w="863"/>
        <w:gridCol w:w="166"/>
        <w:gridCol w:w="146"/>
        <w:gridCol w:w="239"/>
        <w:gridCol w:w="917"/>
        <w:gridCol w:w="166"/>
        <w:gridCol w:w="146"/>
        <w:gridCol w:w="265"/>
        <w:gridCol w:w="896"/>
        <w:gridCol w:w="412"/>
      </w:tblGrid>
      <w:tr>
        <w:trPr/>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9,335,913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27,790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Reclassification of Sermonix Pre-funded</w:t>
              <w:br/>
              <w:t>   warrant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53,808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gain on available-for-sale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(32,948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9,393,514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594,018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(544,703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49,303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employee</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gain on available-for-sale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9,421,663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597,313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(563,710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33,595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4"/>
        <w:gridCol w:w="146"/>
        <w:gridCol w:w="146"/>
        <w:gridCol w:w="826"/>
        <w:gridCol w:w="146"/>
        <w:gridCol w:w="146"/>
        <w:gridCol w:w="271"/>
        <w:gridCol w:w="480"/>
        <w:gridCol w:w="146"/>
        <w:gridCol w:w="146"/>
        <w:gridCol w:w="205"/>
        <w:gridCol w:w="726"/>
        <w:gridCol w:w="146"/>
        <w:gridCol w:w="146"/>
        <w:gridCol w:w="488"/>
        <w:gridCol w:w="863"/>
        <w:gridCol w:w="166"/>
        <w:gridCol w:w="146"/>
        <w:gridCol w:w="239"/>
        <w:gridCol w:w="917"/>
        <w:gridCol w:w="166"/>
        <w:gridCol w:w="146"/>
        <w:gridCol w:w="285"/>
        <w:gridCol w:w="876"/>
        <w:gridCol w:w="413"/>
      </w:tblGrid>
      <w:tr>
        <w:trPr/>
        <w:tc>
          <w:tcPr>
            <w:tcW w:w="1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gain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(9,143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3,904,199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gain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31,986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w:t>
      </w:r>
      <w:r>
        <w:rPr>
          <w:rFonts w:ascii="Arial" w:hAnsi="Arial"/>
          <w:color w:val="000000"/>
          <w:sz w:val="20"/>
        </w:rPr>
        <w:t xml:space="preserve"> </w:t>
      </w:r>
      <w:r>
        <w:rPr>
          <w:rFonts w:ascii="Arial" w:hAnsi="Arial"/>
          <w:i/>
          <w:color w:val="000000"/>
          <w:sz w:val="20"/>
        </w:rPr>
        <w:t>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9942" w:type="dxa"/>
        <w:jc w:val="left"/>
        <w:tblInd w:w="0" w:type="dxa"/>
        <w:tblLayout w:type="fixed"/>
        <w:tblCellMar>
          <w:top w:w="28" w:type="dxa"/>
          <w:left w:w="28" w:type="dxa"/>
          <w:bottom w:w="28" w:type="dxa"/>
          <w:right w:w="28" w:type="dxa"/>
        </w:tblCellMar>
      </w:tblPr>
      <w:tblGrid>
        <w:gridCol w:w="6556"/>
        <w:gridCol w:w="146"/>
        <w:gridCol w:w="215"/>
        <w:gridCol w:w="751"/>
        <w:gridCol w:w="169"/>
        <w:gridCol w:w="148"/>
        <w:gridCol w:w="215"/>
        <w:gridCol w:w="751"/>
        <w:gridCol w:w="991"/>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(16,109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Milestone liability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in fair value of Sermonix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16,320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Amortization of premiums and accretion of discounts on</w:t>
              <w:br/>
              <w:t>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Prepaid expenses and other current and long-term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(37,861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(21,664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(30,840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(16,269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31,634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(36,953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(28,550</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69,907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49,069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32,954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20,519</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120" w:after="283"/>
        <w:jc w:val="both"/>
        <w:rPr>
          <w:rFonts w:ascii="Arial" w:hAnsi="Arial"/>
          <w:b/>
          <w:i/>
          <w:color w:val="000000"/>
          <w:sz w:val="20"/>
        </w:rPr>
      </w:pPr>
      <w:r>
        <w:rPr>
          <w:rFonts w:ascii="Arial" w:hAnsi="Arial"/>
          <w:b/>
          <w:i/>
          <w:color w:val="000000"/>
          <w:sz w:val="20"/>
        </w:rPr>
        <w:t>Organization</w:t>
      </w:r>
    </w:p>
    <w:p>
      <w:pPr>
        <w:pStyle w:val="TextBody"/>
        <w:bidi w:val="0"/>
        <w:spacing w:before="120" w:after="283"/>
        <w:jc w:val="both"/>
        <w:rPr>
          <w:rFonts w:ascii="Times New Roman" w:hAnsi="Times New Roman"/>
          <w:sz w:val="20"/>
        </w:rPr>
      </w:pPr>
      <w:r>
        <w:rPr>
          <w:rFonts w:ascii="Arial" w:hAnsi="Arial"/>
          <w:color w:val="000000"/>
          <w:sz w:val="20"/>
        </w:rPr>
        <w:t>LeonaBio, Inc.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and in January 2026 the Company changed its name to LeonaBio, Inc. The Company currently has office and laboratory space in Bothell, Washington. The Company is a clinical-stage biopharmaceutical company dedicated to the development of novel therapeutics for high unmet medical needs, including treatment-resistant metastatic breast cancer and amyotrophic lateral sclerosis.</w:t>
      </w:r>
    </w:p>
    <w:p>
      <w:pPr>
        <w:pStyle w:val="TextBody"/>
        <w:bidi w:val="0"/>
        <w:spacing w:before="360" w:after="283"/>
        <w:jc w:val="both"/>
        <w:rPr>
          <w:rFonts w:ascii="Arial" w:hAnsi="Arial"/>
          <w:b/>
          <w:i/>
          <w:color w:val="000000"/>
          <w:sz w:val="20"/>
        </w:rPr>
      </w:pPr>
      <w:r>
        <w:rPr>
          <w:rFonts w:ascii="Arial" w:hAnsi="Arial"/>
          <w:b/>
          <w:i/>
          <w:color w:val="000000"/>
          <w:sz w:val="20"/>
        </w:rPr>
        <w:t>Liquidity, Capital Resources and Going Concern</w:t>
      </w:r>
    </w:p>
    <w:p>
      <w:pPr>
        <w:pStyle w:val="TextBody"/>
        <w:bidi w:val="0"/>
        <w:spacing w:before="12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prefunded common stock warrants, and convertible notes, and to a lesser extent from grant income and stock option exercises. From the Company’s inception through June 30, 2026, it has raised aggregate net cash proceeds of $489.8</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prefunded common stock warrants and convertible notes. In December 2025, the Company raised approximately $90</w:t>
      </w:r>
      <w:r>
        <w:rPr>
          <w:rFonts w:ascii="Times New Roman" w:hAnsi="Times New Roman"/>
          <w:color w:val="000000"/>
          <w:sz w:val="20"/>
        </w:rPr>
        <w:t xml:space="preserve"> </w:t>
      </w:r>
      <w:r>
        <w:rPr>
          <w:rFonts w:ascii="Arial" w:hAnsi="Arial"/>
          <w:color w:val="000000"/>
          <w:sz w:val="20"/>
        </w:rPr>
        <w:t>million in a Private Placement (as defined below), excluding placement agent fees and offering expenses. Refer to Note 8 to our unaudited condensed consolidated financial statements included elsewhere in this report for more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June 30, 2026, the Company had cash, cash equivalents and investments of $51.1</w:t>
      </w:r>
      <w:r>
        <w:rPr>
          <w:rFonts w:ascii="Times New Roman" w:hAnsi="Times New Roman"/>
          <w:color w:val="000000"/>
          <w:sz w:val="20"/>
        </w:rPr>
        <w:t xml:space="preserve"> </w:t>
      </w:r>
      <w:r>
        <w:rPr>
          <w:rFonts w:ascii="Arial" w:hAnsi="Arial"/>
          <w:color w:val="000000"/>
          <w:sz w:val="20"/>
        </w:rPr>
        <w:t>million. The Company’s net loss for the six months ended June 30, 2026 was $52.0</w:t>
      </w:r>
      <w:r>
        <w:rPr>
          <w:rFonts w:ascii="Times New Roman" w:hAnsi="Times New Roman"/>
          <w:color w:val="000000"/>
          <w:sz w:val="20"/>
        </w:rPr>
        <w:t xml:space="preserve"> </w:t>
      </w:r>
      <w:r>
        <w:rPr>
          <w:rFonts w:ascii="Arial" w:hAnsi="Arial"/>
          <w:color w:val="000000"/>
          <w:sz w:val="20"/>
        </w:rPr>
        <w:t>million and cash used in operations for the six months ended June 30, 2026 was $37.9</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40" w:after="283"/>
        <w:jc w:val="both"/>
        <w:rPr>
          <w:rFonts w:ascii="Times New Roman" w:hAnsi="Times New Roman"/>
          <w:sz w:val="20"/>
        </w:rPr>
      </w:pPr>
      <w:r>
        <w:rPr>
          <w:rFonts w:ascii="Arial" w:hAnsi="Arial"/>
          <w:color w:val="000000"/>
          <w:sz w:val="20"/>
        </w:rPr>
        <w:t>Based upon the Company’s current operating plan, it estimates that its $51.1</w:t>
      </w:r>
      <w:r>
        <w:rPr>
          <w:rFonts w:ascii="Times New Roman" w:hAnsi="Times New Roman"/>
          <w:color w:val="000000"/>
          <w:sz w:val="20"/>
        </w:rPr>
        <w:t xml:space="preserve"> </w:t>
      </w:r>
      <w:r>
        <w:rPr>
          <w:rFonts w:ascii="Arial" w:hAnsi="Arial"/>
          <w:color w:val="000000"/>
          <w:sz w:val="20"/>
        </w:rPr>
        <w:t>million of cash, cash equivalents and investments at June 30, 2026</w:t>
      </w:r>
      <w:r>
        <w:rPr>
          <w:rFonts w:ascii="Times New Roman" w:hAnsi="Times New Roman"/>
          <w:color w:val="000000"/>
          <w:sz w:val="20"/>
        </w:rPr>
        <w:t xml:space="preserve"> </w:t>
      </w:r>
      <w:r>
        <w:rPr>
          <w:rFonts w:ascii="Arial" w:hAnsi="Arial"/>
          <w:color w:val="000000"/>
          <w:sz w:val="20"/>
        </w:rPr>
        <w:t>may not be sufficient to fund its operating expenses and capital expenditure requirements through at least the next 12 months which raises substantial doubt as to our ability to continue as a going concern following the date of this Quarterly Report on Form 10-Q.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In connection with the Private Placement, the Company issued 23,031,494</w:t>
      </w:r>
      <w:r>
        <w:rPr>
          <w:rFonts w:ascii="Times New Roman" w:hAnsi="Times New Roman"/>
          <w:color w:val="000000"/>
          <w:sz w:val="20"/>
        </w:rPr>
        <w:t xml:space="preserve"> </w:t>
      </w:r>
      <w:r>
        <w:rPr>
          <w:rFonts w:ascii="Arial" w:hAnsi="Arial"/>
          <w:color w:val="000000"/>
          <w:sz w:val="20"/>
        </w:rPr>
        <w:t>Series A Common Warrants that have an exercise price of $6.35</w:t>
      </w:r>
      <w:r>
        <w:rPr>
          <w:rFonts w:ascii="Times New Roman" w:hAnsi="Times New Roman"/>
          <w:color w:val="000000"/>
          <w:sz w:val="20"/>
        </w:rPr>
        <w:t xml:space="preserve"> </w:t>
      </w:r>
      <w:r>
        <w:rPr>
          <w:rFonts w:ascii="Arial" w:hAnsi="Arial"/>
          <w:color w:val="000000"/>
          <w:sz w:val="20"/>
        </w:rPr>
        <w:t>per share to be paid in cash (unless a resale registration statement is unavailable at the time of exercise, in which case the Series A Common Warrants will be exercisable on a cashless net exercise basis) and are exercisable at each holders option after the earlier of (1) the latest of (a) June 30, 2026, (b) the date on which the Company publicly announces the enrollment of the 500th subject or the last subject, whichever is earlier, in the ELAINE-3 trial; and (c) the date on which the FDA approves or issues a complete response letter to Eli Lilly &amp; Co.'s marketing application, including a supplement to a new drug application, for imlunestrant in combination with abemaciclib in breast cancer, and (2) October 31, 2026 (the “Series A Common Warrant Initial Exercise Date”). The Series A Common Warrants will remain exercisable at each holders option until the 30th day following the Series A Common Warrant Initial Exercise Date (the “Series A Common Warrant Termination Date”), which Series A Common Warrant Termination Date will be no later than November 30, 2026.</w:t>
      </w:r>
      <w:r>
        <w:rPr>
          <w:rFonts w:ascii="Times New Roman" w:hAnsi="Times New Roman"/>
          <w:color w:val="000000"/>
          <w:sz w:val="20"/>
        </w:rPr>
        <w:t xml:space="preserve"> </w:t>
      </w:r>
      <w:r>
        <w:rPr>
          <w:rFonts w:ascii="Arial" w:hAnsi="Arial"/>
          <w:color w:val="000000"/>
          <w:sz w:val="20"/>
        </w:rPr>
        <w:t>If exercised in full, the Series A Common Warrants would provide $146.2</w:t>
      </w:r>
      <w:r>
        <w:rPr>
          <w:rFonts w:ascii="Times New Roman" w:hAnsi="Times New Roman"/>
          <w:color w:val="000000"/>
          <w:sz w:val="20"/>
        </w:rPr>
        <w:t xml:space="preserve"> </w:t>
      </w:r>
      <w:r>
        <w:rPr>
          <w:rFonts w:ascii="Arial" w:hAnsi="Arial"/>
          <w:color w:val="000000"/>
          <w:sz w:val="20"/>
        </w:rPr>
        <w:t>million of additional capital to the Company.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Additionally, the Company has a sales agreement in place with Cantor Fitzgerald &amp; Co. and BTIG, LLC for an “at the market” equity offering facility through which it may offer and sell shares of its common stock, however, the Company is currently unable to offer and sell shares under this facility due to its ineligibility to use a Registration Statement on Form S-3 through December 2026.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120" w:after="283"/>
        <w:jc w:val="both"/>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or U.S. GAAP. The unaudited condensed consolidated financial statements include the operations of LeonaBio, Inc., and its wholly owned Australian subsidiary. All intercompany balances and transactions have been eliminated upon consolidation.</w:t>
      </w:r>
    </w:p>
    <w:p>
      <w:pPr>
        <w:pStyle w:val="TextBody"/>
        <w:bidi w:val="0"/>
        <w:spacing w:before="240" w:after="283"/>
        <w:jc w:val="both"/>
        <w:rPr>
          <w:rFonts w:ascii="Times New Roman" w:hAnsi="Times New Roman"/>
          <w:sz w:val="20"/>
        </w:rPr>
      </w:pPr>
      <w:r>
        <w:rPr>
          <w:rFonts w:ascii="Arial" w:hAnsi="Arial"/>
          <w:color w:val="000000"/>
          <w:sz w:val="20"/>
        </w:rPr>
        <w:t>The Company effected a reverse stock split on September 17, 2025 of its outstanding shares of common stock at a ratio of 1-for-10</w:t>
      </w:r>
      <w:r>
        <w:rPr>
          <w:rFonts w:ascii="Times New Roman" w:hAnsi="Times New Roman"/>
          <w:color w:val="000000"/>
          <w:sz w:val="20"/>
        </w:rPr>
        <w:t xml:space="preserve"> </w:t>
      </w:r>
      <w:r>
        <w:rPr>
          <w:rFonts w:ascii="Arial" w:hAnsi="Arial"/>
          <w:color w:val="000000"/>
          <w:sz w:val="20"/>
        </w:rPr>
        <w:t>pursuant to a Certificate of Amendment to the Company's Certificate of Incorporation filed with the Secretary of State of the State of Delaware, or the reverse stock split. The reverse stock split was reflected on the Nasdaq Capital Market beginning with the opening of trading on September 18, 2025. The reverse stock split did not change the par value of the Company's common stock. The reverse stock split reduced the total number of authorized number of shares of the Company's common stock from 900,000,000</w:t>
      </w:r>
      <w:r>
        <w:rPr>
          <w:rFonts w:ascii="Times New Roman" w:hAnsi="Times New Roman"/>
          <w:color w:val="000000"/>
          <w:sz w:val="20"/>
        </w:rPr>
        <w:t xml:space="preserve"> </w:t>
      </w:r>
      <w:r>
        <w:rPr>
          <w:rFonts w:ascii="Arial" w:hAnsi="Arial"/>
          <w:color w:val="000000"/>
          <w:sz w:val="20"/>
        </w:rPr>
        <w:t>to 90,000,000</w:t>
      </w:r>
      <w:r>
        <w:rPr>
          <w:rFonts w:ascii="Times New Roman" w:hAnsi="Times New Roman"/>
          <w:color w:val="000000"/>
          <w:sz w:val="20"/>
        </w:rPr>
        <w:t xml:space="preserve"> </w:t>
      </w:r>
      <w:r>
        <w:rPr>
          <w:rFonts w:ascii="Arial" w:hAnsi="Arial"/>
          <w:color w:val="000000"/>
          <w:sz w:val="20"/>
        </w:rPr>
        <w:t>and the total number of authorized shares of the Company’s capital stock from 1,000,000,000</w:t>
      </w:r>
      <w:r>
        <w:rPr>
          <w:rFonts w:ascii="Times New Roman" w:hAnsi="Times New Roman"/>
          <w:color w:val="000000"/>
          <w:sz w:val="20"/>
        </w:rPr>
        <w:t xml:space="preserve"> </w:t>
      </w:r>
      <w:r>
        <w:rPr>
          <w:rFonts w:ascii="Arial" w:hAnsi="Arial"/>
          <w:color w:val="000000"/>
          <w:sz w:val="20"/>
        </w:rPr>
        <w:t>to 190,000,000. On March 18, 2026, the Company held a special meeting of stockholders in which the stockholders approved the amendment of the Company's amended and restated certificate of incorporation to increase the number of authorized shares to 500,000,000, of which 400,000,000</w:t>
      </w:r>
      <w:r>
        <w:rPr>
          <w:rFonts w:ascii="Times New Roman" w:hAnsi="Times New Roman"/>
          <w:color w:val="000000"/>
          <w:sz w:val="20"/>
        </w:rPr>
        <w:t xml:space="preserve"> </w:t>
      </w:r>
      <w:r>
        <w:rPr>
          <w:rFonts w:ascii="Arial" w:hAnsi="Arial"/>
          <w:color w:val="000000"/>
          <w:sz w:val="20"/>
        </w:rPr>
        <w:t>shares are Common Stock, $0.0001</w:t>
      </w:r>
      <w:r>
        <w:rPr>
          <w:rFonts w:ascii="Times New Roman" w:hAnsi="Times New Roman"/>
          <w:color w:val="000000"/>
          <w:sz w:val="20"/>
        </w:rPr>
        <w:t xml:space="preserve"> </w:t>
      </w:r>
      <w:r>
        <w:rPr>
          <w:rFonts w:ascii="Arial" w:hAnsi="Arial"/>
          <w:color w:val="000000"/>
          <w:sz w:val="20"/>
        </w:rPr>
        <w:t>par value share, and 100,000,000</w:t>
      </w:r>
      <w:r>
        <w:rPr>
          <w:rFonts w:ascii="Times New Roman" w:hAnsi="Times New Roman"/>
          <w:color w:val="000000"/>
          <w:sz w:val="20"/>
        </w:rPr>
        <w:t xml:space="preserve"> </w:t>
      </w:r>
      <w:r>
        <w:rPr>
          <w:rFonts w:ascii="Arial" w:hAnsi="Arial"/>
          <w:color w:val="000000"/>
          <w:sz w:val="20"/>
        </w:rPr>
        <w:t>shares are Preferred Stock, $0.0001</w:t>
      </w:r>
      <w:r>
        <w:rPr>
          <w:rFonts w:ascii="Times New Roman" w:hAnsi="Times New Roman"/>
          <w:color w:val="000000"/>
          <w:sz w:val="20"/>
        </w:rPr>
        <w:t xml:space="preserve"> </w:t>
      </w:r>
      <w:r>
        <w:rPr>
          <w:rFonts w:ascii="Arial" w:hAnsi="Arial"/>
          <w:color w:val="000000"/>
          <w:sz w:val="20"/>
        </w:rPr>
        <w:t>par value per share. All share amounts and per share amounts disclosed in this Quarterly Report on Form 10-Q have been restated to reflect the reverse stock split on a retroactive basis in all periods presented.</w:t>
      </w:r>
    </w:p>
    <w:p>
      <w:pPr>
        <w:pStyle w:val="TextBody"/>
        <w:bidi w:val="0"/>
        <w:spacing w:before="36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120" w:after="283"/>
        <w:jc w:val="both"/>
        <w:rPr>
          <w:rFonts w:ascii="Times New Roman" w:hAnsi="Times New Roman"/>
          <w:sz w:val="20"/>
        </w:rPr>
      </w:pPr>
      <w:r>
        <w:rPr>
          <w:rFonts w:ascii="Arial" w:hAnsi="Arial"/>
          <w:color w:val="000000"/>
          <w:sz w:val="20"/>
        </w:rPr>
        <w:t>The accompanying condensed consolidated balance sheet as of June 30, 2026, and condensed consolidated statements of operations and comprehensive loss, cash flows, and stockholders’ equity for the three and six months ended June 30, 2026 and 2025, are unaudited. The balance sheet as of December 31, 2025 was derived from the audited consolidated financial statements as of and for the year ended December 31, 2025. The unaudited interim condensed consolidated financial statements have been prepared on a basis consistent with the audited annual financial statements as of and for the year ended December 31, 2025, and, in the opinion of management, reflect all adjustments, consisting solely of normal recurring adjustments, necessary for the fair presentation of the Company’s financial position as of June 30, 2026, and the unaudited condensed consolidated results of its operations and its cash flows for the three and six months ended June 30, 2026 and 2025. The financial data and other information disclosed in these notes related to the three and six months ended June 30, 2026 and 2025 are also unaudited. The unaudited condensed consolidated results of operations for the three and six months ended June 30, 2026 are not necessarily indicative of the results to be expected for the full year ending December 31, 2026 or any other period. These unaudited interim condensed consolidated financial statements should be read in conjunction with the Company’s audited consolidated financial statements as of and for the year ended December 31, 2025</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March 31, 2026.</w:t>
      </w:r>
    </w:p>
    <w:p>
      <w:pPr>
        <w:pStyle w:val="TextBody"/>
        <w:bidi w:val="0"/>
        <w:spacing w:before="360" w:after="283"/>
        <w:jc w:val="both"/>
        <w:rPr>
          <w:rFonts w:ascii="Arial" w:hAnsi="Arial"/>
          <w:b/>
          <w:i/>
          <w:color w:val="000000"/>
          <w:sz w:val="20"/>
        </w:rPr>
      </w:pPr>
      <w:r>
        <w:rPr>
          <w:rFonts w:ascii="Arial" w:hAnsi="Arial"/>
          <w:b/>
          <w:i/>
          <w:color w:val="000000"/>
          <w:sz w:val="20"/>
        </w:rPr>
        <w:t>Fair Value Measurements</w:t>
      </w:r>
    </w:p>
    <w:p>
      <w:pPr>
        <w:pStyle w:val="TextBody"/>
        <w:bidi w:val="0"/>
        <w:spacing w:before="12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4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360" w:after="283"/>
        <w:jc w:val="both"/>
        <w:rPr>
          <w:rFonts w:ascii="Arial" w:hAnsi="Arial"/>
          <w:b/>
          <w:i/>
          <w:color w:val="000000"/>
          <w:sz w:val="20"/>
        </w:rPr>
      </w:pPr>
      <w:r>
        <w:rPr>
          <w:rFonts w:ascii="Arial" w:hAnsi="Arial"/>
          <w:b/>
          <w:i/>
          <w:color w:val="000000"/>
          <w:sz w:val="20"/>
        </w:rPr>
        <w:t>Cash, cash equivalents and restricted cash</w:t>
      </w:r>
    </w:p>
    <w:p>
      <w:pPr>
        <w:pStyle w:val="TextBody"/>
        <w:bidi w:val="0"/>
        <w:spacing w:before="120" w:after="283"/>
        <w:jc w:val="both"/>
        <w:rPr>
          <w:rFonts w:ascii="Arial" w:hAnsi="Arial"/>
          <w:color w:val="000000"/>
          <w:sz w:val="20"/>
        </w:rPr>
      </w:pPr>
      <w:r>
        <w:rPr>
          <w:rFonts w:ascii="Arial" w:hAnsi="Arial"/>
          <w:color w:val="000000"/>
          <w:sz w:val="20"/>
        </w:rPr>
        <w:t>Cash and cash equivalents have a maturity date of less than three months to maturity when acquired by the Company. Restricted cash consists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pStyle w:val="TextBody"/>
        <w:bidi w:val="0"/>
        <w:jc w:val="both"/>
        <w:rPr/>
      </w:pPr>
      <w:r>
        <w:rPr/>
        <w:t> </w:t>
      </w:r>
    </w:p>
    <w:tbl>
      <w:tblPr>
        <w:tblW w:w="6587"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Short-term Investments</w:t>
      </w:r>
    </w:p>
    <w:p>
      <w:pPr>
        <w:pStyle w:val="TextBody"/>
        <w:bidi w:val="0"/>
        <w:spacing w:before="12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360" w:after="283"/>
        <w:jc w:val="both"/>
        <w:rPr>
          <w:rFonts w:ascii="Arial" w:hAnsi="Arial"/>
          <w:b/>
          <w:i/>
          <w:color w:val="000000"/>
          <w:sz w:val="20"/>
        </w:rPr>
      </w:pPr>
      <w:r>
        <w:rPr>
          <w:rFonts w:ascii="Arial" w:hAnsi="Arial"/>
          <w:b/>
          <w:i/>
          <w:color w:val="000000"/>
          <w:sz w:val="20"/>
        </w:rPr>
        <w:t>Warrants</w:t>
      </w:r>
    </w:p>
    <w:p>
      <w:pPr>
        <w:pStyle w:val="TextBody"/>
        <w:bidi w:val="0"/>
        <w:spacing w:before="120" w:after="283"/>
        <w:jc w:val="both"/>
        <w:rPr>
          <w:rFonts w:ascii="Times New Roman" w:hAnsi="Times New Roman"/>
          <w:sz w:val="20"/>
        </w:rPr>
      </w:pPr>
      <w:r>
        <w:rPr>
          <w:rFonts w:ascii="Arial" w:hAnsi="Arial"/>
          <w:color w:val="000000"/>
          <w:sz w:val="20"/>
        </w:rPr>
        <w:t>The Company accounts for warrants as either equity-classified or liability-classified instruments based on an assessment of the warrant’s specific terms and applicable authoritative guidance in Accounting Standards Codification ("ASC") 480 and ASC 815. This assessment is conducted at the time the warrants are issued and reassessed as of each subsequent reporting period while the warrants are outstanding.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warrants that meet all criteria for equity classification, the warrants are required to be recorded at their initial fair value at the time of issuance, as a component of additional paid-in capital, on the consolidated statement of stockholders’ equity. For warrants that do not meet all the criteria for equity classification, the warrants are required to be recorded at their initial fair value on the date of issuance, and on each balance sheet date thereafter until such time that the warrants are exercised, expire or otherwise qualify for equity classification. Changes in the estimated fair value of the warrants are recorded as a non-cash gain or loss on the consolidated statements of operations and comprehensive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the Company determines that a warrant subsequently meets the criteria for equity classification, the warrant is remeasured at fair value immediately prior to reclassification, with the resulting change in fair value recorded as a non-cash gain or loss on the consolidated statements of operations and comprehensive loss. The warrant is then reclassified from a liability to additional paid</w:t>
        <w:noBreakHyphen/>
        <w:t>in capital at its fair value on the reclassification date and is not subsequently remeasured.</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fair value of warrant liabilities, fair value of milestone liability,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360" w:after="283"/>
        <w:jc w:val="both"/>
        <w:rPr>
          <w:rFonts w:ascii="Arial" w:hAnsi="Arial"/>
          <w:b/>
          <w:i/>
          <w:color w:val="000000"/>
          <w:sz w:val="20"/>
        </w:rPr>
      </w:pPr>
      <w:r>
        <w:rPr>
          <w:rFonts w:ascii="Arial" w:hAnsi="Arial"/>
          <w:b/>
          <w:i/>
          <w:color w:val="000000"/>
          <w:sz w:val="20"/>
        </w:rPr>
        <w:t>Contingent consideration arrangements</w:t>
      </w:r>
    </w:p>
    <w:p>
      <w:pPr>
        <w:pStyle w:val="TextBody"/>
        <w:bidi w:val="0"/>
        <w:spacing w:before="120" w:after="120"/>
        <w:jc w:val="both"/>
        <w:rPr>
          <w:rFonts w:ascii="Arial" w:hAnsi="Arial"/>
          <w:color w:val="000000"/>
          <w:sz w:val="20"/>
        </w:rPr>
      </w:pPr>
      <w:r>
        <w:rPr>
          <w:rFonts w:ascii="Arial" w:hAnsi="Arial"/>
          <w:color w:val="000000"/>
          <w:sz w:val="20"/>
        </w:rPr>
        <w:t>In connection with certain asset acquisitions, the Company may agree to make certain milestone payments to the owners of licensed technology acquired upon the achievement of certain development, clinical and commercial milestones. These obligations may be settled in cash or in the Company’s equity shares.</w:t>
      </w:r>
    </w:p>
    <w:p>
      <w:pPr>
        <w:pStyle w:val="TextBody"/>
        <w:bidi w:val="0"/>
        <w:spacing w:before="120" w:after="283"/>
        <w:jc w:val="both"/>
        <w:rPr>
          <w:rFonts w:ascii="Times New Roman" w:hAnsi="Times New Roman"/>
          <w:sz w:val="20"/>
        </w:rPr>
      </w:pPr>
      <w:r>
        <w:rPr>
          <w:rFonts w:ascii="Arial" w:hAnsi="Arial"/>
          <w:color w:val="000000"/>
          <w:sz w:val="20"/>
        </w:rPr>
        <w:t xml:space="preserve">Contingent consideration payable in cash is first evaluated under ASC 815 to determine whether the arrangement meets the definition of a derivative. If the contingent payment arrangement does not qualify as a derivative under ASC 815, the Company applies the guidance in ASC 450, </w:t>
      </w:r>
      <w:r>
        <w:rPr>
          <w:rFonts w:ascii="Arial" w:hAnsi="Arial"/>
          <w:i/>
          <w:color w:val="000000"/>
          <w:sz w:val="20"/>
        </w:rPr>
        <w:t>Contingencies</w:t>
      </w:r>
      <w:r>
        <w:rPr>
          <w:rFonts w:ascii="Arial" w:hAnsi="Arial"/>
          <w:color w:val="000000"/>
          <w:sz w:val="20"/>
        </w:rPr>
        <w:t>. Under this model, contingent consideration is not included in the cost of the assets acquired until the contingency is resolved. A liability is recognized only when the contingent payment is probable and reasonably estimable.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Contingent consideration that is required or may be settled in the Company’s equity shares is evaluated under ASC 480, </w:t>
      </w:r>
      <w:r>
        <w:rPr>
          <w:rFonts w:ascii="Arial" w:hAnsi="Arial"/>
          <w:i/>
          <w:color w:val="000000"/>
          <w:sz w:val="20"/>
        </w:rPr>
        <w:t>Distinguishing Liabilities from Equity</w:t>
      </w:r>
      <w:r>
        <w:rPr>
          <w:rFonts w:ascii="Arial" w:hAnsi="Arial"/>
          <w:color w:val="000000"/>
          <w:sz w:val="20"/>
        </w:rPr>
        <w:t>, to determine proper classification. Obligations that require or may require the Company to issue a variable number of shares with a monetary value that is fixed, indexed to something other than the Company’s own shares, or based on an obligation to repurchase shares are classified as liabilities under ASC 480.</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Contingent consideration arrangements classified as liabilities under ASC 480 are carried at fair value. The Company estimates the fair value by applying a probability-based model that utilizes inputs primarily based upon the achievement and related timing of certain development, clinical and commercial milestones that were unobservable in the market. The estimated fair value of contingent consideration liabilities, initially measured and recorded on the acquisition date, are considered to be a Level 3 fair value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pStyle w:val="TextBody"/>
        <w:bidi w:val="0"/>
        <w:spacing w:before="240" w:after="283"/>
        <w:jc w:val="both"/>
        <w:rPr>
          <w:rFonts w:ascii="Arial" w:hAnsi="Arial"/>
          <w:color w:val="000000"/>
          <w:sz w:val="20"/>
        </w:rPr>
      </w:pPr>
      <w:r>
        <w:rPr>
          <w:rFonts w:ascii="Arial" w:hAnsi="Arial"/>
          <w:color w:val="000000"/>
          <w:sz w:val="20"/>
        </w:rPr>
        <w:t>Significant changes in any of the probabilities of success or in the probabilities as to the periods in which milestones would be achieved could result in a significantly higher or lower fair value measurement. The Company will continue to adjust the liabilities for changes in fair value until the earlier of the achievement or expiration of the obligations.</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Leases</w:t>
      </w:r>
    </w:p>
    <w:p>
      <w:pPr>
        <w:pStyle w:val="TextBody"/>
        <w:bidi w:val="0"/>
        <w:spacing w:before="120" w:after="283"/>
        <w:jc w:val="both"/>
        <w:rPr>
          <w:rFonts w:ascii="Times New Roman" w:hAnsi="Times New Roman"/>
          <w:sz w:val="20"/>
        </w:rPr>
      </w:pPr>
      <w:r>
        <w:rPr>
          <w:rFonts w:ascii="Arial" w:hAnsi="Arial"/>
          <w:color w:val="000000"/>
          <w:sz w:val="20"/>
        </w:rPr>
        <w:t xml:space="preserve">The Company adopted Accounting Standards Codification,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36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("RSUs") is based upon the fair market value of the Company’s common stock based on its closing price as reported on the date of grant on the Nasdaq Capital Market.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RSU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36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120" w:after="283"/>
        <w:jc w:val="both"/>
        <w:rPr>
          <w:rFonts w:ascii="Times New Roman" w:hAnsi="Times New Roman"/>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 Basic and diluted net loss per share also includes contingently issuable shares once all conditions are satisfied.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3. Fair Value</w:t>
      </w:r>
    </w:p>
    <w:p>
      <w:pPr>
        <w:pStyle w:val="TextBody"/>
        <w:bidi w:val="0"/>
        <w:spacing w:before="120" w:after="283"/>
        <w:jc w:val="both"/>
        <w:rPr>
          <w:rFonts w:ascii="Arial" w:hAnsi="Arial"/>
          <w:color w:val="000000"/>
          <w:sz w:val="20"/>
        </w:rPr>
      </w:pPr>
      <w:r>
        <w:rPr>
          <w:rFonts w:ascii="Arial" w:hAnsi="Arial"/>
          <w:color w:val="000000"/>
          <w:sz w:val="20"/>
        </w:rPr>
        <w:t>The following table summarizes the Company’s assets and liabilities measured at fair value on a recurring basis and their respective input levels based on the fair value hierarchy (in thousands):</w:t>
      </w:r>
    </w:p>
    <w:p>
      <w:pPr>
        <w:pStyle w:val="TextBody"/>
        <w:bidi w:val="0"/>
        <w:jc w:val="both"/>
        <w:rPr/>
      </w:pPr>
      <w:r>
        <w:rPr/>
        <w:t> </w:t>
      </w:r>
    </w:p>
    <w:tbl>
      <w:tblPr>
        <w:tblW w:w="8740" w:type="dxa"/>
        <w:jc w:val="left"/>
        <w:tblInd w:w="0" w:type="dxa"/>
        <w:tblLayout w:type="fixed"/>
        <w:tblCellMar>
          <w:top w:w="28" w:type="dxa"/>
          <w:left w:w="28" w:type="dxa"/>
          <w:bottom w:w="28" w:type="dxa"/>
          <w:right w:w="28" w:type="dxa"/>
        </w:tblCellMar>
      </w:tblPr>
      <w:tblGrid>
        <w:gridCol w:w="3601"/>
        <w:gridCol w:w="426"/>
        <w:gridCol w:w="250"/>
        <w:gridCol w:w="410"/>
        <w:gridCol w:w="146"/>
        <w:gridCol w:w="146"/>
        <w:gridCol w:w="211"/>
        <w:gridCol w:w="691"/>
        <w:gridCol w:w="146"/>
        <w:gridCol w:w="146"/>
        <w:gridCol w:w="211"/>
        <w:gridCol w:w="691"/>
        <w:gridCol w:w="146"/>
        <w:gridCol w:w="146"/>
        <w:gridCol w:w="211"/>
        <w:gridCol w:w="691"/>
        <w:gridCol w:w="471"/>
      </w:tblGrid>
      <w:tr>
        <w:trPr/>
        <w:tc>
          <w:tcPr>
            <w:tcW w:w="360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22,982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18,744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 xml:space="preserve">Total assets subject to fair value </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41,802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subject to fair value</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82" w:type="dxa"/>
        <w:jc w:val="left"/>
        <w:tblInd w:w="0" w:type="dxa"/>
        <w:tblLayout w:type="fixed"/>
        <w:tblCellMar>
          <w:top w:w="28" w:type="dxa"/>
          <w:left w:w="28" w:type="dxa"/>
          <w:bottom w:w="28" w:type="dxa"/>
          <w:right w:w="28" w:type="dxa"/>
        </w:tblCellMar>
      </w:tblPr>
      <w:tblGrid>
        <w:gridCol w:w="3601"/>
        <w:gridCol w:w="426"/>
        <w:gridCol w:w="211"/>
        <w:gridCol w:w="691"/>
        <w:gridCol w:w="146"/>
        <w:gridCol w:w="146"/>
        <w:gridCol w:w="211"/>
        <w:gridCol w:w="691"/>
        <w:gridCol w:w="146"/>
        <w:gridCol w:w="146"/>
        <w:gridCol w:w="211"/>
        <w:gridCol w:w="691"/>
        <w:gridCol w:w="146"/>
        <w:gridCol w:w="146"/>
        <w:gridCol w:w="211"/>
        <w:gridCol w:w="691"/>
        <w:gridCol w:w="471"/>
      </w:tblGrid>
      <w:tr>
        <w:trPr/>
        <w:tc>
          <w:tcPr>
            <w:tcW w:w="360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 subject to fair value</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71,209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subject to fair value</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52,604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U.S government debt and agency securities and commercial paper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Due to a contingent redemption right exercisable if the Company failed to obtain stockholder approval permitting the exercise of the Sermonix Pharmaceuticals, Inc. (“Sermonix”) Pre</w:t>
        <w:noBreakHyphen/>
        <w:t>Funded Warrant under Nasdaq Rule 5635(a) within one year of issuance, the warrant was classified as a liability pursuant to ASC 480 as of December 31, 2025. As of December 31, 2025 the Company determined the fair value of the Sermonix Pre-Funded Warrant based on the fair value of the Company’s common stock, adjusted for a discount for lack of marketability, and classified it as Level 3 due to the use of unobservable market data for identical or similar liabilities. Following receipt of stockholder approval on March 18, 2026, the redemption right lapsed and the Sermonix Pre</w:t>
        <w:noBreakHyphen/>
        <w:t>Funded Warrant met the criteria for equity classification. Accordingly, the Company remeasured the warrant to fair value immediately prior to reclassification and reclassified the warrant to equity as of March 18, 2026. Following reclassification, the Sermonix Pre</w:t>
        <w:noBreakHyphen/>
        <w:t>Funded Warrant is no longer subject to recurring fair value measurement.</w:t>
      </w:r>
    </w:p>
    <w:p>
      <w:pPr>
        <w:pStyle w:val="TextBody"/>
        <w:bidi w:val="0"/>
        <w:spacing w:before="240" w:after="283"/>
        <w:jc w:val="both"/>
        <w:rPr>
          <w:rFonts w:ascii="Arial" w:hAnsi="Arial"/>
          <w:color w:val="000000"/>
          <w:sz w:val="20"/>
        </w:rPr>
      </w:pPr>
      <w:r>
        <w:rPr>
          <w:rFonts w:ascii="Arial" w:hAnsi="Arial"/>
          <w:color w:val="000000"/>
          <w:sz w:val="20"/>
        </w:rPr>
        <w:t>The key inputs into the fair value of the Sermonix Pre-Funded Warrant at December 31, 2025 were as follows:</w:t>
      </w:r>
    </w:p>
    <w:p>
      <w:pPr>
        <w:pStyle w:val="TextBody"/>
        <w:bidi w:val="0"/>
        <w:jc w:val="left"/>
        <w:rPr/>
      </w:pPr>
      <w:r>
        <w:rPr/>
        <w:t> </w:t>
      </w:r>
    </w:p>
    <w:tbl>
      <w:tblPr>
        <w:tblW w:w="5606" w:type="dxa"/>
        <w:jc w:val="left"/>
        <w:tblInd w:w="0" w:type="dxa"/>
        <w:tblLayout w:type="fixed"/>
        <w:tblCellMar>
          <w:top w:w="28" w:type="dxa"/>
          <w:left w:w="28" w:type="dxa"/>
          <w:bottom w:w="28" w:type="dxa"/>
          <w:right w:w="28" w:type="dxa"/>
        </w:tblCellMar>
      </w:tblPr>
      <w:tblGrid>
        <w:gridCol w:w="2641"/>
        <w:gridCol w:w="146"/>
        <w:gridCol w:w="367"/>
        <w:gridCol w:w="367"/>
        <w:gridCol w:w="533"/>
        <w:gridCol w:w="122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Sermonix Pre-Funded Warrant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Holding period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of December 31, 2025 and June 30, 2026, Level 3 liabilities include the milestone payable to Sermonix pursuant to the Company’s license agreement executed on December 18, 2025 (the “Milestone Liability”). The Milestone Liability is classified as a liability under ASC 480 as the Company is contingently obligated to settle the milestone through the transfer of assets or issuance of a variable number of equity shares with a value equal to a fixed monetary amount.</w:t>
      </w:r>
    </w:p>
    <w:p>
      <w:pPr>
        <w:pStyle w:val="TextBody"/>
        <w:bidi w:val="0"/>
        <w:spacing w:before="240" w:after="283"/>
        <w:jc w:val="both"/>
        <w:rPr>
          <w:rFonts w:ascii="Arial" w:hAnsi="Arial"/>
          <w:color w:val="000000"/>
          <w:sz w:val="20"/>
        </w:rPr>
      </w:pPr>
      <w:r>
        <w:rPr>
          <w:rFonts w:ascii="Arial" w:hAnsi="Arial"/>
          <w:color w:val="000000"/>
          <w:sz w:val="20"/>
        </w:rPr>
        <w:t>The Company determines the fair value of the Milestone Liability based on the probability weighted present value of the net milestone payment and classifies as Level 3 due to the use of unobservable market data for identical or similar liabilities. The key inputs into the fair value of the Milestone Liability at December 31, 2025 and at June 30, 2026 were as follows:</w:t>
      </w:r>
    </w:p>
    <w:p>
      <w:pPr>
        <w:pStyle w:val="TextBody"/>
        <w:bidi w:val="0"/>
        <w:spacing w:before="240" w:after="283"/>
        <w:jc w:val="both"/>
        <w:rPr/>
      </w:pPr>
      <w:r>
        <w:rPr/>
        <w:t> </w:t>
      </w:r>
    </w:p>
    <w:tbl>
      <w:tblPr>
        <w:tblW w:w="6715" w:type="dxa"/>
        <w:jc w:val="left"/>
        <w:tblInd w:w="0" w:type="dxa"/>
        <w:tblLayout w:type="fixed"/>
        <w:tblCellMar>
          <w:top w:w="28" w:type="dxa"/>
          <w:left w:w="28" w:type="dxa"/>
          <w:bottom w:w="28" w:type="dxa"/>
          <w:right w:w="28" w:type="dxa"/>
        </w:tblCellMar>
      </w:tblPr>
      <w:tblGrid>
        <w:gridCol w:w="3061"/>
        <w:gridCol w:w="146"/>
        <w:gridCol w:w="272"/>
        <w:gridCol w:w="898"/>
        <w:gridCol w:w="286"/>
        <w:gridCol w:w="146"/>
        <w:gridCol w:w="365"/>
        <w:gridCol w:w="1210"/>
        <w:gridCol w:w="33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Milestone Liability</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Below is a summary of the change in fair value of the Sermonix Pre-Funded Warrant and the Milestone Liability from December 31, 2025 to June 30, 2026:</w:t>
      </w:r>
    </w:p>
    <w:p>
      <w:pPr>
        <w:pStyle w:val="TextBody"/>
        <w:bidi w:val="0"/>
        <w:jc w:val="both"/>
        <w:rPr/>
      </w:pPr>
      <w:r>
        <w:rPr/>
        <w:t> </w:t>
      </w:r>
    </w:p>
    <w:tbl>
      <w:tblPr>
        <w:tblW w:w="4603" w:type="dxa"/>
        <w:jc w:val="left"/>
        <w:tblInd w:w="0" w:type="dxa"/>
        <w:tblLayout w:type="fixed"/>
        <w:tblCellMar>
          <w:top w:w="28" w:type="dxa"/>
          <w:left w:w="28" w:type="dxa"/>
          <w:bottom w:w="28" w:type="dxa"/>
          <w:right w:w="28" w:type="dxa"/>
        </w:tblCellMar>
      </w:tblPr>
      <w:tblGrid>
        <w:gridCol w:w="1996"/>
        <w:gridCol w:w="146"/>
        <w:gridCol w:w="227"/>
        <w:gridCol w:w="809"/>
        <w:gridCol w:w="166"/>
        <w:gridCol w:w="146"/>
        <w:gridCol w:w="211"/>
        <w:gridCol w:w="691"/>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Sermonix</w:t>
              <w:br/>
              <w:t>Pre-Funded</w:t>
              <w:br/>
              <w:t>Warrant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Milestone</w:t>
              <w:b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Reclassified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fair value of the Level 3 liabilities may change significantly as additional data is obtained.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22,982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18,744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240" w:after="283"/>
        <w:jc w:val="both"/>
        <w:rPr>
          <w:rFonts w:ascii="Times New Roman" w:hAnsi="Times New Roman"/>
          <w:sz w:val="20"/>
        </w:rPr>
      </w:pPr>
      <w:r>
        <w:rPr>
          <w:rFonts w:ascii="Arial" w:hAnsi="Arial"/>
          <w:color w:val="000000"/>
          <w:sz w:val="20"/>
        </w:rPr>
        <w:t>As of June 30, 2026,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June 30, 2026</w:t>
      </w:r>
      <w:r>
        <w:rPr>
          <w:rFonts w:ascii="Times New Roman" w:hAnsi="Times New Roman"/>
          <w:color w:val="000000"/>
          <w:sz w:val="20"/>
        </w:rPr>
        <w:t xml:space="preserve"> </w:t>
      </w:r>
      <w:r>
        <w:rPr>
          <w:rFonts w:ascii="Arial" w:hAnsi="Arial"/>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20"/>
        </w:rPr>
        <w:t>Depreciation expense was $0.2</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three and six months ended June 30, 2026, respectively. Depreciation expense was $0.2</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three and six months ended June 30, 2025, respectively.</w:t>
      </w:r>
    </w:p>
    <w:p>
      <w:pPr>
        <w:pStyle w:val="TextBody"/>
        <w:bidi w:val="0"/>
        <w:spacing w:before="360" w:after="283"/>
        <w:jc w:val="both"/>
        <w:rPr>
          <w:rFonts w:ascii="Arial" w:hAnsi="Arial"/>
          <w:b/>
          <w:color w:val="000000"/>
          <w:sz w:val="20"/>
        </w:rPr>
      </w:pPr>
      <w:r>
        <w:rPr>
          <w:rFonts w:ascii="Arial" w:hAnsi="Arial"/>
          <w:b/>
          <w:color w:val="000000"/>
          <w:sz w:val="20"/>
        </w:rPr>
        <w:t>5. Accrued Liabilities</w:t>
      </w:r>
    </w:p>
    <w:p>
      <w:pPr>
        <w:pStyle w:val="TextBody"/>
        <w:bidi w:val="0"/>
        <w:spacing w:before="12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267" w:type="dxa"/>
        <w:jc w:val="left"/>
        <w:tblInd w:w="0" w:type="dxa"/>
        <w:tblLayout w:type="fixed"/>
        <w:tblCellMar>
          <w:top w:w="28" w:type="dxa"/>
          <w:left w:w="28" w:type="dxa"/>
          <w:bottom w:w="28" w:type="dxa"/>
          <w:right w:w="28" w:type="dxa"/>
        </w:tblCellMar>
      </w:tblPr>
      <w:tblGrid>
        <w:gridCol w:w="3391"/>
        <w:gridCol w:w="146"/>
        <w:gridCol w:w="211"/>
        <w:gridCol w:w="586"/>
        <w:gridCol w:w="146"/>
        <w:gridCol w:w="146"/>
        <w:gridCol w:w="309"/>
        <w:gridCol w:w="861"/>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b/>
          <w:color w:val="000000"/>
          <w:sz w:val="20"/>
        </w:rPr>
      </w:pPr>
      <w:r>
        <w:rPr>
          <w:rFonts w:ascii="Arial" w:hAnsi="Arial"/>
          <w:b/>
          <w:color w:val="000000"/>
          <w:sz w:val="20"/>
        </w:rPr>
        <w:t>6. Segment Reporting</w:t>
      </w:r>
    </w:p>
    <w:p>
      <w:pPr>
        <w:pStyle w:val="TextBody"/>
        <w:bidi w:val="0"/>
        <w:spacing w:before="120" w:after="283"/>
        <w:jc w:val="both"/>
        <w:rPr>
          <w:rFonts w:ascii="Times New Roman" w:hAnsi="Times New Roman"/>
          <w:sz w:val="20"/>
        </w:rPr>
      </w:pPr>
      <w:r>
        <w:rPr>
          <w:rFonts w:ascii="Arial" w:hAnsi="Arial"/>
          <w:color w:val="000000"/>
          <w:sz w:val="20"/>
        </w:rPr>
        <w:t>The Company operates as a single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pStyle w:val="TextBody"/>
        <w:bidi w:val="0"/>
        <w:spacing w:before="240" w:after="283"/>
        <w:jc w:val="both"/>
        <w:rPr>
          <w:rFonts w:ascii="Arial" w:hAnsi="Arial"/>
          <w:color w:val="000000"/>
          <w:sz w:val="20"/>
        </w:rPr>
      </w:pPr>
      <w:r>
        <w:rPr>
          <w:rFonts w:ascii="Arial" w:hAnsi="Arial"/>
          <w:color w:val="000000"/>
          <w:sz w:val="20"/>
        </w:rPr>
        <w:t>The table below is a summary of the segment profit or loss, including significant segment expenses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53"/>
        <w:gridCol w:w="146"/>
        <w:gridCol w:w="233"/>
        <w:gridCol w:w="831"/>
        <w:gridCol w:w="183"/>
        <w:gridCol w:w="161"/>
        <w:gridCol w:w="233"/>
        <w:gridCol w:w="715"/>
        <w:gridCol w:w="166"/>
        <w:gridCol w:w="146"/>
        <w:gridCol w:w="211"/>
        <w:gridCol w:w="754"/>
        <w:gridCol w:w="166"/>
        <w:gridCol w:w="146"/>
        <w:gridCol w:w="211"/>
        <w:gridCol w:w="754"/>
        <w:gridCol w:w="496"/>
      </w:tblGrid>
      <w:tr>
        <w:trPr/>
        <w:tc>
          <w:tcPr>
            <w:tcW w:w="4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Lasofoxifene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Brelgometon (ATH-1105)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2,161</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excluding 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6,604</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6,503</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segment expenses</w:t>
            </w:r>
            <w:r>
              <w:rPr>
                <w:rFonts w:ascii="Arial" w:hAnsi="Arial"/>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3,720</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16,827</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(19,007</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(16,109</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3"/>
        </w:rPr>
        <w:t>(a)</w:t>
      </w:r>
      <w:r>
        <w:rPr>
          <w:rFonts w:ascii="Arial" w:hAnsi="Arial"/>
          <w:color w:val="000000"/>
          <w:sz w:val="20"/>
        </w:rPr>
        <w:t>Other segment expenses includes stock-based compensation and depreciation expenses.</w:t>
      </w:r>
    </w:p>
    <w:p>
      <w:pPr>
        <w:pStyle w:val="TextBody"/>
        <w:bidi w:val="0"/>
        <w:spacing w:before="3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120" w:after="283"/>
        <w:jc w:val="both"/>
        <w:rPr>
          <w:rFonts w:ascii="Arial" w:hAnsi="Arial"/>
          <w:b/>
          <w:i/>
          <w:color w:val="000000"/>
          <w:sz w:val="20"/>
        </w:rPr>
      </w:pPr>
      <w:r>
        <w:rPr>
          <w:rFonts w:ascii="Arial" w:hAnsi="Arial"/>
          <w:b/>
          <w:i/>
          <w:color w:val="000000"/>
          <w:sz w:val="20"/>
        </w:rPr>
        <w:t>Legal Proceedings</w:t>
      </w:r>
    </w:p>
    <w:p>
      <w:pPr>
        <w:pStyle w:val="TextBody"/>
        <w:bidi w:val="0"/>
        <w:spacing w:before="120" w:after="283"/>
        <w:jc w:val="both"/>
        <w:rPr>
          <w:rFonts w:ascii="Times New Roman" w:hAnsi="Times New Roman"/>
          <w:sz w:val="20"/>
        </w:rPr>
      </w:pPr>
      <w:r>
        <w:rPr>
          <w:rFonts w:ascii="Arial" w:hAnsi="Arial"/>
          <w:color w:val="000000"/>
          <w:sz w:val="20"/>
        </w:rPr>
        <w:t>From time to time, the Company may be subject to various legal proceedings or claims that arise in the ordinary course of business. The Company accrues a liability when the Company's management believes that it is both probable that a liability has been incurred and the amount of loss can be reasonably estimated. There were no</w:t>
      </w:r>
      <w:r>
        <w:rPr>
          <w:rFonts w:ascii="Times New Roman" w:hAnsi="Times New Roman"/>
          <w:color w:val="000000"/>
          <w:sz w:val="20"/>
        </w:rPr>
        <w:t xml:space="preserve"> </w:t>
      </w:r>
      <w:r>
        <w:rPr>
          <w:rFonts w:ascii="Arial" w:hAnsi="Arial"/>
          <w:color w:val="000000"/>
          <w:sz w:val="20"/>
        </w:rPr>
        <w:t>material litigation-related accruals recorded as of June 30, 2026.</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June 30, 2026, the Company was not party to any finance leases.</w:t>
      </w:r>
    </w:p>
    <w:p>
      <w:pPr>
        <w:pStyle w:val="TextBody"/>
        <w:bidi w:val="0"/>
        <w:spacing w:before="24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408" w:type="dxa"/>
        <w:jc w:val="left"/>
        <w:tblInd w:w="0" w:type="dxa"/>
        <w:tblLayout w:type="fixed"/>
        <w:tblCellMar>
          <w:top w:w="28" w:type="dxa"/>
          <w:left w:w="28" w:type="dxa"/>
          <w:bottom w:w="28" w:type="dxa"/>
          <w:right w:w="28" w:type="dxa"/>
        </w:tblCellMar>
      </w:tblPr>
      <w:tblGrid>
        <w:gridCol w:w="4006"/>
        <w:gridCol w:w="146"/>
        <w:gridCol w:w="255"/>
        <w:gridCol w:w="510"/>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458" w:type="dxa"/>
        <w:jc w:val="left"/>
        <w:tblInd w:w="0" w:type="dxa"/>
        <w:tblLayout w:type="fixed"/>
        <w:tblCellMar>
          <w:top w:w="28" w:type="dxa"/>
          <w:left w:w="28" w:type="dxa"/>
          <w:bottom w:w="28" w:type="dxa"/>
          <w:right w:w="28" w:type="dxa"/>
        </w:tblCellMar>
      </w:tblPr>
      <w:tblGrid>
        <w:gridCol w:w="4216"/>
        <w:gridCol w:w="146"/>
        <w:gridCol w:w="214"/>
        <w:gridCol w:w="55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jc w:val="both"/>
        <w:rPr/>
      </w:pPr>
      <w:r>
        <w:rPr/>
        <w:t> </w:t>
      </w:r>
    </w:p>
    <w:tbl>
      <w:tblPr>
        <w:tblW w:w="7616" w:type="dxa"/>
        <w:jc w:val="left"/>
        <w:tblInd w:w="0" w:type="dxa"/>
        <w:tblLayout w:type="fixed"/>
        <w:tblCellMar>
          <w:top w:w="28" w:type="dxa"/>
          <w:left w:w="28" w:type="dxa"/>
          <w:bottom w:w="28" w:type="dxa"/>
          <w:right w:w="28" w:type="dxa"/>
        </w:tblCellMar>
      </w:tblPr>
      <w:tblGrid>
        <w:gridCol w:w="2281"/>
        <w:gridCol w:w="146"/>
        <w:gridCol w:w="385"/>
        <w:gridCol w:w="577"/>
        <w:gridCol w:w="266"/>
        <w:gridCol w:w="266"/>
        <w:gridCol w:w="385"/>
        <w:gridCol w:w="577"/>
        <w:gridCol w:w="146"/>
        <w:gridCol w:w="146"/>
        <w:gridCol w:w="305"/>
        <w:gridCol w:w="609"/>
        <w:gridCol w:w="211"/>
        <w:gridCol w:w="211"/>
        <w:gridCol w:w="305"/>
        <w:gridCol w:w="609"/>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8. Common Stock</w:t>
      </w:r>
    </w:p>
    <w:p>
      <w:pPr>
        <w:pStyle w:val="TextBody"/>
        <w:bidi w:val="0"/>
        <w:spacing w:before="12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44"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46"/>
        <w:gridCol w:w="106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1,262,430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63,723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2026</w:t>
              <w:br/>
              <w: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156,754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PIPE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8,816,684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5,502,402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5,502,402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65,774,834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60,128,329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2025 PIPE Financing</w:t>
      </w:r>
    </w:p>
    <w:p>
      <w:pPr>
        <w:pStyle w:val="TextBody"/>
        <w:bidi w:val="0"/>
        <w:spacing w:before="120" w:after="283"/>
        <w:jc w:val="both"/>
        <w:rPr>
          <w:rFonts w:ascii="Times New Roman" w:hAnsi="Times New Roman"/>
          <w:sz w:val="20"/>
        </w:rPr>
      </w:pPr>
      <w:r>
        <w:rPr>
          <w:rFonts w:ascii="Arial" w:hAnsi="Arial"/>
          <w:color w:val="000000"/>
          <w:sz w:val="20"/>
        </w:rPr>
        <w:t>In December 2025, the Company entered into a securities purchase agreement (the “PIPE Securities Purchase Agreement”) with investors, pursuant to which the Company issued, by way of a private placement (the “Private Placement”) an aggregate of (i) 5,356,547</w:t>
      </w:r>
      <w:r>
        <w:rPr>
          <w:rFonts w:ascii="Times New Roman" w:hAnsi="Times New Roman"/>
          <w:color w:val="000000"/>
          <w:sz w:val="20"/>
        </w:rPr>
        <w:t xml:space="preserve"> </w:t>
      </w:r>
      <w:r>
        <w:rPr>
          <w:rFonts w:ascii="Arial" w:hAnsi="Arial"/>
          <w:color w:val="000000"/>
          <w:sz w:val="20"/>
        </w:rPr>
        <w:t>shares of the Company’s common stock, (ii) pre-funded warrants (the “PIPE Pre-Funded Warrants”) to purchase 8,816,684</w:t>
      </w:r>
      <w:r>
        <w:rPr>
          <w:rFonts w:ascii="Times New Roman" w:hAnsi="Times New Roman"/>
          <w:color w:val="000000"/>
          <w:sz w:val="20"/>
        </w:rPr>
        <w:t xml:space="preserve"> </w:t>
      </w:r>
      <w:r>
        <w:rPr>
          <w:rFonts w:ascii="Arial" w:hAnsi="Arial"/>
          <w:color w:val="000000"/>
          <w:sz w:val="20"/>
        </w:rPr>
        <w:t>shares of common stock, (iii) warrants (the “Series A Common Warrants”) to purchase 23,031,494</w:t>
      </w:r>
      <w:r>
        <w:rPr>
          <w:rFonts w:ascii="Times New Roman" w:hAnsi="Times New Roman"/>
          <w:color w:val="000000"/>
          <w:sz w:val="20"/>
        </w:rPr>
        <w:t xml:space="preserve"> </w:t>
      </w:r>
      <w:r>
        <w:rPr>
          <w:rFonts w:ascii="Arial" w:hAnsi="Arial"/>
          <w:color w:val="000000"/>
          <w:sz w:val="20"/>
        </w:rPr>
        <w:t>shares of common stock and/or shares underlying pre-funded warrants and (iv) warrants (the “Series B Common Warrants”) to purchase 21,259,842</w:t>
      </w:r>
      <w:r>
        <w:rPr>
          <w:rFonts w:ascii="Times New Roman" w:hAnsi="Times New Roman"/>
          <w:color w:val="000000"/>
          <w:sz w:val="20"/>
        </w:rPr>
        <w:t xml:space="preserve"> </w:t>
      </w:r>
      <w:r>
        <w:rPr>
          <w:rFonts w:ascii="Arial" w:hAnsi="Arial"/>
          <w:color w:val="000000"/>
          <w:sz w:val="20"/>
        </w:rPr>
        <w:t>shares of common stock and/or shares underlying pre-funded warrants. The aggregate gross proceeds from the Private Placement was $90.0</w:t>
      </w:r>
      <w:r>
        <w:rPr>
          <w:rFonts w:ascii="Times New Roman" w:hAnsi="Times New Roman"/>
          <w:color w:val="000000"/>
          <w:sz w:val="20"/>
        </w:rPr>
        <w:t xml:space="preserve"> </w:t>
      </w:r>
      <w:r>
        <w:rPr>
          <w:rFonts w:ascii="Arial" w:hAnsi="Arial"/>
          <w:color w:val="000000"/>
          <w:sz w:val="20"/>
        </w:rPr>
        <w:t>million. Issuance costs of $7.6</w:t>
      </w:r>
      <w:r>
        <w:rPr>
          <w:rFonts w:ascii="Times New Roman" w:hAnsi="Times New Roman"/>
          <w:color w:val="000000"/>
          <w:sz w:val="20"/>
        </w:rPr>
        <w:t xml:space="preserve"> </w:t>
      </w:r>
      <w:r>
        <w:rPr>
          <w:rFonts w:ascii="Arial" w:hAnsi="Arial"/>
          <w:color w:val="000000"/>
          <w:sz w:val="20"/>
        </w:rPr>
        <w:t>million are reflected as deduction from additional paid-in capital.</w:t>
      </w:r>
    </w:p>
    <w:p>
      <w:pPr>
        <w:pStyle w:val="TextBody"/>
        <w:bidi w:val="0"/>
        <w:spacing w:before="240" w:after="283"/>
        <w:jc w:val="both"/>
        <w:rPr>
          <w:rFonts w:ascii="Times New Roman" w:hAnsi="Times New Roman"/>
          <w:sz w:val="20"/>
        </w:rPr>
      </w:pPr>
      <w:r>
        <w:rPr>
          <w:rFonts w:ascii="Arial" w:hAnsi="Arial"/>
          <w:color w:val="000000"/>
          <w:sz w:val="20"/>
        </w:rPr>
        <w:t>The PIPE Pre-Funded Warrants are exercisable at an exercise price of $0.001</w:t>
      </w:r>
      <w:r>
        <w:rPr>
          <w:rFonts w:ascii="Times New Roman" w:hAnsi="Times New Roman"/>
          <w:color w:val="000000"/>
          <w:sz w:val="20"/>
        </w:rPr>
        <w:t xml:space="preserve"> </w:t>
      </w:r>
      <w:r>
        <w:rPr>
          <w:rFonts w:ascii="Arial" w:hAnsi="Arial"/>
          <w:color w:val="000000"/>
          <w:sz w:val="20"/>
        </w:rPr>
        <w:t>per share, subject to customary adjustments and are exercisable at any time on or after issuance subject to the restriction discussed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Series A Common Warrants have an exercise price of $6.35</w:t>
      </w:r>
      <w:r>
        <w:rPr>
          <w:rFonts w:ascii="Times New Roman" w:hAnsi="Times New Roman"/>
          <w:color w:val="000000"/>
          <w:sz w:val="20"/>
        </w:rPr>
        <w:t xml:space="preserve"> </w:t>
      </w:r>
      <w:r>
        <w:rPr>
          <w:rFonts w:ascii="Arial" w:hAnsi="Arial"/>
          <w:color w:val="000000"/>
          <w:sz w:val="20"/>
        </w:rPr>
        <w:t>per share and are exercisable after the earlier of (1) the latest of (a) June 30, 2026, (b) the date on which the Company publicly announces the enrollment of the 500th subject or the last subject, whichever is earlier, in the ELAINE-3 trial; and (c) the date on which the FDA approves or issues a complete response letter to Eli Lilly &amp; Co.'s marketing application, including a supplement to a new drug application, for imlunestrant in combination with abemaciclib in breast cancer, and (2) October 31, 2026 ( the “Series A Common Warrant Initial Exercise Date”). The Series A Common Warrants will remain exercisable until the 30th day following the Series A Common Warrant Initial Exercise Date (the “Series A Common Warrant Termination Date”), except that if the Series A Common Warrant Initial Exercise Date has not occurred by December 23, 2030, then December 23, 2030 will be the Series A Common Warrant Termination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Series B Common Warrants have an exercise price of $7.62</w:t>
      </w:r>
      <w:r>
        <w:rPr>
          <w:rFonts w:ascii="Times New Roman" w:hAnsi="Times New Roman"/>
          <w:color w:val="000000"/>
          <w:sz w:val="20"/>
        </w:rPr>
        <w:t xml:space="preserve"> </w:t>
      </w:r>
      <w:r>
        <w:rPr>
          <w:rFonts w:ascii="Arial" w:hAnsi="Arial"/>
          <w:color w:val="000000"/>
          <w:sz w:val="20"/>
        </w:rPr>
        <w:t>per share and will be exercisable after the later of (1) June 30, 2026 and (2) the date of the completion of the public readout of topline results of the ELAINE-3 trial (the later of (1) and (2), the “Series B Common Warrant Initial Exercise Date”). The Series B Common Warrants will remain exercisable until the 30th day following the Series B Common Warrant Initial Exercise Date (the “Series B Common Warrant Termination Date”), except that if the Series B Common Warrant Initial Exercise Date has not occurred by December 23, 2030, then December 23, 2030 will be the Series B Common Warrant Termination Date. At issuance and at December 31, 2025, the PIPE Pre-Funded Warrants, Series A Common Warrants and Series B Common Warrants meet the criteria to be classified as equity instruments.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None of the PIPE Pre-Funded Warrants, the Series A Common Warrants or the Series B Common Warrants can be exercised if, immediately prior to or following such exercise, the applicable investor, together with its affiliates and any other persons whose beneficial ownership of shares of common stock would be aggregated with such investor for purposes of Section 13(d) of the Securities Exchange Act of 1934, as amended (the "Exchange Act"), would beneficially own more than 4.99%, 9.99% or 19.99%, at the election of such investor (in each case, the “PIPE Maximum Percentage”) of the total number of issued and outstanding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shares of common stock following such exercise. If, upon exercise of the Series A Common Warrants or Series B Common Warrants, an investor would exceed the PIPE Maximum Percentage, then the Series A Common Warrants and Series B Common Warrants may be exercised for pre-funded warrants to purchase shares of common stock, which pre-funded warrants will have terms substantially the same as the PIPE Pre-Funded Warrants. The PIPE Maximum Percentage may be increased or decreased by an investor with 61 days’ written notice to the Company; provided, however, that such percentage may in no event exceed (x) 19.99% prior to a vote of our stockholders approving the removal of such exercise limitation or (y) with respect to certain investors, 4.99%.</w:t>
      </w:r>
    </w:p>
    <w:p>
      <w:pPr>
        <w:pStyle w:val="TextBody"/>
        <w:bidi w:val="0"/>
        <w:spacing w:before="240" w:after="283"/>
        <w:jc w:val="both"/>
        <w:rPr>
          <w:rFonts w:ascii="Arial" w:hAnsi="Arial"/>
          <w:color w:val="000000"/>
          <w:sz w:val="20"/>
        </w:rPr>
      </w:pPr>
      <w:r>
        <w:rPr>
          <w:rFonts w:ascii="Arial" w:hAnsi="Arial"/>
          <w:color w:val="000000"/>
          <w:sz w:val="20"/>
        </w:rPr>
        <w:t>As of June 30, 2026, no PIPE Pre-Funded Warrants, PIPE Series A Common Warrants or PIPE Series B Common Warrants had been exercised.</w:t>
      </w:r>
    </w:p>
    <w:p>
      <w:pPr>
        <w:pStyle w:val="TextBody"/>
        <w:bidi w:val="0"/>
        <w:spacing w:before="360" w:after="283"/>
        <w:jc w:val="both"/>
        <w:rPr>
          <w:rFonts w:ascii="Times New Roman" w:hAnsi="Times New Roman"/>
          <w:sz w:val="20"/>
        </w:rPr>
      </w:pPr>
      <w:r>
        <w:rPr>
          <w:rFonts w:ascii="Arial" w:hAnsi="Arial"/>
          <w:b/>
          <w:i/>
          <w:color w:val="000000"/>
          <w:sz w:val="20"/>
        </w:rPr>
        <w:t>Sermonix Pre-Funded Warrant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consideration for the rights granted to the Company under the Sermonix License Agreement entered into between the Company and Sermonix on December 18, 2025, the Company issued to Sermonix the Sermonix Pre-Funded Warrant to purchase 5,502,402</w:t>
      </w:r>
      <w:r>
        <w:rPr>
          <w:rFonts w:ascii="Times New Roman" w:hAnsi="Times New Roman"/>
          <w:color w:val="000000"/>
          <w:sz w:val="20"/>
        </w:rPr>
        <w:t xml:space="preserve"> </w:t>
      </w:r>
      <w:r>
        <w:rPr>
          <w:rFonts w:ascii="Arial" w:hAnsi="Arial"/>
          <w:color w:val="000000"/>
          <w:sz w:val="20"/>
        </w:rPr>
        <w:t>shares of the Company’s common stock pursuant to the Sermonix Securities Purchase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Sermonix Pre-Funded Warrant has an exercise price of $0.001</w:t>
      </w:r>
      <w:r>
        <w:rPr>
          <w:rFonts w:ascii="Times New Roman" w:hAnsi="Times New Roman"/>
          <w:color w:val="000000"/>
          <w:sz w:val="20"/>
        </w:rPr>
        <w:t xml:space="preserve"> </w:t>
      </w:r>
      <w:r>
        <w:rPr>
          <w:rFonts w:ascii="Arial" w:hAnsi="Arial"/>
          <w:color w:val="000000"/>
          <w:sz w:val="20"/>
        </w:rPr>
        <w:t>per share and is exercisable at any time after the date of approval from the Company’s stockholders as required by Nasdaq, including for purposes of Nasdaq Rule 5635(a), such that the Sermonix Pre-Funded Warrant can be exercised at any time without restriction or additional stockholder approval (the “Sermonix Stockholder Approval”). If the Sermonix Stockholder Approval was not obtained by the first anniversary of the original issuance of the Sermonix Pre-Funded Warrant, Sermonix had the right (the “Sermonix Redemption Right”) at any time and from time to time prior to such time that the Sermonix Stockholder Approval is obtained thereafter, to cause the Company to pay, at the option of Sermonix, an amount up to (a) $6.35</w:t>
      </w:r>
      <w:r>
        <w:rPr>
          <w:rFonts w:ascii="Times New Roman" w:hAnsi="Times New Roman"/>
          <w:color w:val="000000"/>
          <w:sz w:val="20"/>
        </w:rPr>
        <w:t xml:space="preserve"> </w:t>
      </w:r>
      <w:r>
        <w:rPr>
          <w:rFonts w:ascii="Arial" w:hAnsi="Arial"/>
          <w:color w:val="000000"/>
          <w:sz w:val="20"/>
        </w:rPr>
        <w:t>(the “Sermonix Redemption Price”) multiplied by (b) the number of shares of common stock with respect to which Sermonix was exercising the Sermonix Redemption Right.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result of the Sermonix Redemption Right, the Company initially classified the Sermonix Pre-Funded Warrant as a liability in accordance with ASC 480. Because the redemption feature could require the Company to settle the warrant by transferring assets, the Sermonix Pre-Funded Warrant did not meet the criteria for equity classification.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18, 2026, at the Company’s special meeting of its stockholders, the Company’s stockholders approved the proposal to permit the exercise of the Sermonix Pre-Funded Warrant under Nasdaq Rule 5635(a). As a result, the Sermonix Redemption Right lapsed and the Company determined the Sermonix Pre</w:t>
        <w:noBreakHyphen/>
        <w:t>Funded Warrant met the criteria for equity classification. As a result, the Company remeasured the warrant to fair value immediately prior to reclassification, with the change in estimated fair value recorded as a non-cash gain or loss on the consolidated statements of operations and comprehensive loss for the six months ended June 30, 2026. Subsequently, the Company reclassified the Sermonix Pre-Funded Warrant to equity on March 18, 2026.</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2026, the Sermonix Pre-Funded Warrant has not been exercised in full or in part and remained outstanding.</w:t>
      </w:r>
    </w:p>
    <w:p>
      <w:pPr>
        <w:pStyle w:val="TextBody"/>
        <w:bidi w:val="0"/>
        <w:spacing w:before="360" w:after="283"/>
        <w:jc w:val="both"/>
        <w:rPr>
          <w:rFonts w:ascii="Arial" w:hAnsi="Arial"/>
          <w:b/>
          <w:i/>
          <w:color w:val="000000"/>
          <w:sz w:val="20"/>
        </w:rPr>
      </w:pPr>
      <w:r>
        <w:rPr>
          <w:rFonts w:ascii="Arial" w:hAnsi="Arial"/>
          <w:b/>
          <w:i/>
          <w:color w:val="000000"/>
          <w:sz w:val="20"/>
        </w:rPr>
        <w:t>Equity Incentive Plans</w:t>
      </w:r>
    </w:p>
    <w:p>
      <w:pPr>
        <w:pStyle w:val="TextBody"/>
        <w:bidi w:val="0"/>
        <w:spacing w:before="120" w:after="283"/>
        <w:jc w:val="both"/>
        <w:rPr>
          <w:rFonts w:ascii="Times New Roman" w:hAnsi="Times New Roman"/>
          <w:sz w:val="20"/>
        </w:rPr>
      </w:pPr>
      <w:r>
        <w:rPr>
          <w:rFonts w:ascii="Arial" w:hAnsi="Arial"/>
          <w:color w:val="000000"/>
          <w:sz w:val="20"/>
        </w:rPr>
        <w:t>The Company’s board of directors (the “Board”) previously approved, subject to stockholder approval, the Company’s 2026 Equity Incentive Plan (the “2026 Plan”). At the Special Meeting, held on March 18, 2026, the Company’s stockholders approved the 2026 Plan. There will be no further grants under the Company’s prior company-wide equity plan, the 2020 Equity Incentive Plan (the “2020 Plan”), which terminated for future use upon stockholder approval of the 2026 Plan. Termination of the 2020 Plan did not affect outstanding awards previously issued pursuant to the 2020 Plan. A total of 5,700,000</w:t>
      </w:r>
      <w:r>
        <w:rPr>
          <w:rFonts w:ascii="Times New Roman" w:hAnsi="Times New Roman"/>
          <w:color w:val="000000"/>
          <w:sz w:val="20"/>
        </w:rPr>
        <w:t xml:space="preserve"> </w:t>
      </w:r>
      <w:r>
        <w:rPr>
          <w:rFonts w:ascii="Arial" w:hAnsi="Arial"/>
          <w:color w:val="000000"/>
          <w:sz w:val="20"/>
        </w:rPr>
        <w:t>shares of our common stock were reserved for issuance pursuant to our 2026 Plan. In addition, the shares reserved for issuance under our 2026 Plan will include any shares subject to awards granted under the 2020 Plan that, on or after the stockholder approval date of the 2026 Plan,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Plan, are forfeited to or repurchased by the Company due to failure to vest, or are not issued under an award due to the award being paid out in cash rather than shares of common stock (provided that the maximum number of shares of common stock that may be added to the 2026 Plan pursuant to this sentence is 1,300,000</w:t>
      </w:r>
      <w:r>
        <w:rPr>
          <w:rFonts w:ascii="Times New Roman" w:hAnsi="Times New Roman"/>
          <w:color w:val="000000"/>
          <w:sz w:val="20"/>
        </w:rPr>
        <w:t xml:space="preserve"> </w:t>
      </w:r>
      <w:r>
        <w:rPr>
          <w:rFonts w:ascii="Arial" w:hAnsi="Arial"/>
          <w:color w:val="000000"/>
          <w:sz w:val="20"/>
        </w:rPr>
        <w:t>shares). The 2026 Plan provides for annual increases in the number of shares that may be issued under the 2026 Plan on January 1, 2027 and each subsequent January 1 thereafter by a number of shares equal to the least of, (1) 5% of the aggregate of outstanding shares of common stock and outstanding pre-funded warrants to purchase shares of common stock on the immediately preceding December 31, and (2) an amount determined by the Company’s board of directors.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Company’s 2020 Plan provided for annual increases in the number of shares that may be issued under the 2020 Plan on January 1, 2021 and each subsequent January 1 thereafter by a number of shares equal to the least of (1) 323,000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 The 2020 Plan terminated on March 18, 2026, the date the Company’s stockholders approved the 2026 Plan.</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or the ESPP, provides for annual increases in the number of shares that may be issued under the ESPP on January 1, 2021 and each subsequent January 1 thereafter by a number of shares equal to the least of (1) 64,600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Company's 2024 Inducement Equity Incentive Plan, or the 2024 Inducement Plan, and, subject to the adjustment provisions of the 2024 Inducement Plan, reserved 75,000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spacing w:before="240" w:after="283"/>
        <w:jc w:val="both"/>
        <w:rPr>
          <w:rFonts w:ascii="Times New Roman" w:hAnsi="Times New Roman"/>
          <w:sz w:val="20"/>
        </w:rPr>
      </w:pPr>
      <w:r>
        <w:rPr>
          <w:rFonts w:ascii="Arial" w:hAnsi="Arial"/>
          <w:color w:val="000000"/>
          <w:sz w:val="20"/>
        </w:rPr>
        <w:t>Effective January 1, 2026, the Company’s 2020 Plan and ESPP reserves increased by 323,000</w:t>
      </w:r>
      <w:r>
        <w:rPr>
          <w:rFonts w:ascii="Times New Roman" w:hAnsi="Times New Roman"/>
          <w:color w:val="000000"/>
          <w:sz w:val="20"/>
        </w:rPr>
        <w:t xml:space="preserve"> </w:t>
      </w:r>
      <w:r>
        <w:rPr>
          <w:rFonts w:ascii="Arial" w:hAnsi="Arial"/>
          <w:color w:val="000000"/>
          <w:sz w:val="20"/>
        </w:rPr>
        <w:t>shares and 64,600</w:t>
      </w:r>
      <w:r>
        <w:rPr>
          <w:rFonts w:ascii="Times New Roman" w:hAnsi="Times New Roman"/>
          <w:color w:val="000000"/>
          <w:sz w:val="20"/>
        </w:rPr>
        <w:t xml:space="preserve"> </w:t>
      </w:r>
      <w:r>
        <w:rPr>
          <w:rFonts w:ascii="Arial" w:hAnsi="Arial"/>
          <w:color w:val="000000"/>
          <w:sz w:val="20"/>
        </w:rPr>
        <w:t>shares, respectively.</w:t>
      </w:r>
    </w:p>
    <w:p>
      <w:pPr>
        <w:pStyle w:val="TextBody"/>
        <w:bidi w:val="0"/>
        <w:spacing w:before="360" w:after="283"/>
        <w:jc w:val="both"/>
        <w:rPr>
          <w:rFonts w:ascii="Arial" w:hAnsi="Arial"/>
          <w:b/>
          <w:color w:val="000000"/>
          <w:sz w:val="20"/>
        </w:rPr>
      </w:pPr>
      <w:r>
        <w:rPr>
          <w:rFonts w:ascii="Arial" w:hAnsi="Arial"/>
          <w:b/>
          <w:color w:val="000000"/>
          <w:sz w:val="20"/>
        </w:rPr>
        <w:t>9. Stock-based Compensation</w:t>
      </w:r>
    </w:p>
    <w:p>
      <w:pPr>
        <w:pStyle w:val="TextBody"/>
        <w:bidi w:val="0"/>
        <w:spacing w:before="12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8851" w:type="dxa"/>
        <w:jc w:val="left"/>
        <w:tblInd w:w="0" w:type="dxa"/>
        <w:tblLayout w:type="fixed"/>
        <w:tblCellMar>
          <w:top w:w="28" w:type="dxa"/>
          <w:left w:w="28" w:type="dxa"/>
          <w:bottom w:w="28" w:type="dxa"/>
          <w:right w:w="28" w:type="dxa"/>
        </w:tblCellMar>
      </w:tblPr>
      <w:tblGrid>
        <w:gridCol w:w="3236"/>
        <w:gridCol w:w="146"/>
        <w:gridCol w:w="275"/>
        <w:gridCol w:w="764"/>
        <w:gridCol w:w="190"/>
        <w:gridCol w:w="190"/>
        <w:gridCol w:w="275"/>
        <w:gridCol w:w="764"/>
        <w:gridCol w:w="146"/>
        <w:gridCol w:w="146"/>
        <w:gridCol w:w="251"/>
        <w:gridCol w:w="699"/>
        <w:gridCol w:w="174"/>
        <w:gridCol w:w="174"/>
        <w:gridCol w:w="251"/>
        <w:gridCol w:w="699"/>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3,181</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Valuation Assumptions</w:t>
      </w:r>
    </w:p>
    <w:p>
      <w:pPr>
        <w:pStyle w:val="TextBody"/>
        <w:bidi w:val="0"/>
        <w:spacing w:before="12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color w:val="000000"/>
        </w:rPr>
        <w:t>—</w:t>
      </w:r>
      <w:r>
        <w:rPr>
          <w:rFonts w:ascii="Arial" w:hAnsi="Arial"/>
          <w:color w:val="000000"/>
          <w:sz w:val="20"/>
        </w:rPr>
        <w:t>The fair value of each share of common stock is based on the closing price of the Company’s common stock on the date of grant, or other relevant determination date, as reported on The Nasdaq Capital Market.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color w:val="000000"/>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color w:val="000000"/>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color w:val="000000"/>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color w:val="000000"/>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fair value of each stock option was estimated using the Black</w:t>
        <w:noBreakHyphen/>
        <w:t>Scholes option</w:t>
        <w:noBreakHyphen/>
        <w:t>pricing model with the following weighted-average assumptions:</w:t>
      </w:r>
    </w:p>
    <w:p>
      <w:pPr>
        <w:pStyle w:val="TextBody"/>
        <w:bidi w:val="0"/>
        <w:jc w:val="both"/>
        <w:rPr/>
      </w:pPr>
      <w:r>
        <w:rPr/>
        <w:t> </w:t>
      </w:r>
    </w:p>
    <w:tbl>
      <w:tblPr>
        <w:tblW w:w="4992" w:type="dxa"/>
        <w:jc w:val="left"/>
        <w:tblInd w:w="0" w:type="dxa"/>
        <w:tblLayout w:type="fixed"/>
        <w:tblCellMar>
          <w:top w:w="28" w:type="dxa"/>
          <w:left w:w="28" w:type="dxa"/>
          <w:bottom w:w="28" w:type="dxa"/>
          <w:right w:w="28" w:type="dxa"/>
        </w:tblCellMar>
      </w:tblPr>
      <w:tblGrid>
        <w:gridCol w:w="2266"/>
        <w:gridCol w:w="146"/>
        <w:gridCol w:w="156"/>
        <w:gridCol w:w="738"/>
        <w:gridCol w:w="305"/>
        <w:gridCol w:w="156"/>
        <w:gridCol w:w="156"/>
        <w:gridCol w:w="738"/>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105.98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grant date fair value of RSUs is based upon the fair market value of the Company’s common stock based on its closing price as reported on the date of grant on the Nasdaq Capital Market.</w:t>
      </w:r>
    </w:p>
    <w:p>
      <w:pPr>
        <w:pStyle w:val="TextBody"/>
        <w:bidi w:val="0"/>
        <w:spacing w:before="240" w:after="283"/>
        <w:jc w:val="both"/>
        <w:rPr>
          <w:rFonts w:ascii="Times New Roman" w:hAnsi="Times New Roman"/>
          <w:sz w:val="20"/>
        </w:rPr>
      </w:pPr>
      <w:r>
        <w:rPr>
          <w:rFonts w:ascii="Arial" w:hAnsi="Arial"/>
          <w:color w:val="000000"/>
          <w:sz w:val="20"/>
        </w:rPr>
        <w:t>The fair value of options granted during the six months ended June 30, 2026 and 2025</w:t>
      </w:r>
      <w:r>
        <w:rPr>
          <w:rFonts w:ascii="Times New Roman" w:hAnsi="Times New Roman"/>
          <w:color w:val="000000"/>
          <w:sz w:val="20"/>
        </w:rPr>
        <w:t xml:space="preserve"> </w:t>
      </w:r>
      <w:r>
        <w:rPr>
          <w:rFonts w:ascii="Arial" w:hAnsi="Arial"/>
          <w:color w:val="000000"/>
          <w:sz w:val="20"/>
        </w:rPr>
        <w:t>was $35.8</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 The fair value of RSUs granted during the six months ended June 30, 2026 was $1.6</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both"/>
        <w:rPr>
          <w:rFonts w:ascii="Arial" w:hAnsi="Arial"/>
          <w:b/>
          <w:i/>
          <w:color w:val="000000"/>
          <w:sz w:val="20"/>
        </w:rPr>
      </w:pPr>
      <w:r>
        <w:rPr>
          <w:rFonts w:ascii="Arial" w:hAnsi="Arial"/>
          <w:b/>
          <w:i/>
          <w:color w:val="000000"/>
          <w:sz w:val="20"/>
        </w:rPr>
        <w:t>Stock Option Activity</w:t>
      </w:r>
    </w:p>
    <w:p>
      <w:pPr>
        <w:pStyle w:val="TextBody"/>
        <w:bidi w:val="0"/>
        <w:spacing w:before="120" w:after="283"/>
        <w:jc w:val="both"/>
        <w:rPr>
          <w:rFonts w:ascii="Arial" w:hAnsi="Arial"/>
          <w:color w:val="000000"/>
          <w:sz w:val="20"/>
        </w:rPr>
      </w:pPr>
      <w:r>
        <w:rPr>
          <w:rFonts w:ascii="Arial" w:hAnsi="Arial"/>
          <w:color w:val="000000"/>
          <w:sz w:val="20"/>
        </w:rPr>
        <w:t>Changes in shares available for grant under the 2026 Plan, the 2020 Plan, and the 2024 Inducement Plan during the six months ended June 30, 2026 were as follows:</w:t>
      </w:r>
    </w:p>
    <w:p>
      <w:pPr>
        <w:pStyle w:val="TextBody"/>
        <w:bidi w:val="0"/>
        <w:jc w:val="both"/>
        <w:rPr/>
      </w:pPr>
      <w:r>
        <w:rPr/>
        <w:t> </w:t>
      </w:r>
    </w:p>
    <w:tbl>
      <w:tblPr>
        <w:tblW w:w="5845" w:type="dxa"/>
        <w:jc w:val="left"/>
        <w:tblInd w:w="0" w:type="dxa"/>
        <w:tblLayout w:type="fixed"/>
        <w:tblCellMar>
          <w:top w:w="28" w:type="dxa"/>
          <w:left w:w="28" w:type="dxa"/>
          <w:bottom w:w="28" w:type="dxa"/>
          <w:right w:w="28" w:type="dxa"/>
        </w:tblCellMar>
      </w:tblPr>
      <w:tblGrid>
        <w:gridCol w:w="4321"/>
        <w:gridCol w:w="146"/>
        <w:gridCol w:w="146"/>
        <w:gridCol w:w="102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(4,748,364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Termination of future use of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reserved for issuance under 2026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1,020,104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A summary of stock option activity under the 2026 Plan, the 2020 Plan, and the 2024 Inducement Plan for the six months ended June 30, 2026 is as follows:</w:t>
      </w:r>
    </w:p>
    <w:p>
      <w:pPr>
        <w:pStyle w:val="TextBody"/>
        <w:bidi w:val="0"/>
        <w:jc w:val="both"/>
        <w:rPr/>
      </w:pPr>
      <w:r>
        <w:rPr/>
        <w:t> </w:t>
      </w:r>
    </w:p>
    <w:tbl>
      <w:tblPr>
        <w:tblW w:w="8118" w:type="dxa"/>
        <w:jc w:val="left"/>
        <w:tblInd w:w="0" w:type="dxa"/>
        <w:tblLayout w:type="fixed"/>
        <w:tblCellMar>
          <w:top w:w="28" w:type="dxa"/>
          <w:left w:w="28" w:type="dxa"/>
          <w:bottom w:w="28" w:type="dxa"/>
          <w:right w:w="28" w:type="dxa"/>
        </w:tblCellMar>
      </w:tblPr>
      <w:tblGrid>
        <w:gridCol w:w="2806"/>
        <w:gridCol w:w="146"/>
        <w:gridCol w:w="146"/>
        <w:gridCol w:w="961"/>
        <w:gridCol w:w="166"/>
        <w:gridCol w:w="146"/>
        <w:gridCol w:w="242"/>
        <w:gridCol w:w="674"/>
        <w:gridCol w:w="146"/>
        <w:gridCol w:w="146"/>
        <w:gridCol w:w="241"/>
        <w:gridCol w:w="795"/>
        <w:gridCol w:w="146"/>
        <w:gridCol w:w="146"/>
        <w:gridCol w:w="269"/>
        <w:gridCol w:w="75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4,583,364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4,964,270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six months ended June 30, 2026 and 2025</w:t>
      </w:r>
      <w:r>
        <w:rPr>
          <w:rFonts w:ascii="Times New Roman" w:hAnsi="Times New Roman"/>
          <w:color w:val="000000"/>
          <w:sz w:val="20"/>
        </w:rPr>
        <w:t xml:space="preserve"> </w:t>
      </w:r>
      <w:r>
        <w:rPr>
          <w:rFonts w:ascii="Arial" w:hAnsi="Arial"/>
          <w:color w:val="000000"/>
          <w:sz w:val="20"/>
        </w:rPr>
        <w:t>was $2.4</w:t>
      </w:r>
      <w:r>
        <w:rPr>
          <w:rFonts w:ascii="Times New Roman" w:hAnsi="Times New Roman"/>
          <w:color w:val="000000"/>
          <w:sz w:val="20"/>
        </w:rPr>
        <w:t xml:space="preserve"> </w:t>
      </w:r>
      <w:r>
        <w:rPr>
          <w:rFonts w:ascii="Arial" w:hAnsi="Arial"/>
          <w:color w:val="000000"/>
          <w:sz w:val="20"/>
        </w:rPr>
        <w:t>million and $4.7</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June 30, 2026. There were no</w:t>
      </w:r>
      <w:r>
        <w:rPr>
          <w:rFonts w:ascii="Times New Roman" w:hAnsi="Times New Roman"/>
          <w:color w:val="000000"/>
          <w:sz w:val="20"/>
        </w:rPr>
        <w:t xml:space="preserve"> </w:t>
      </w:r>
      <w:r>
        <w:rPr>
          <w:rFonts w:ascii="Arial" w:hAnsi="Arial"/>
          <w:color w:val="000000"/>
          <w:sz w:val="20"/>
        </w:rPr>
        <w:t>options exercised during the six months ended June 30, 2026 and 2025. As of June 30, 2026, there was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$37.1</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3.37 years. The Company utilizes newly issued shares to satisfy option exercises.</w:t>
      </w:r>
    </w:p>
    <w:p>
      <w:pPr>
        <w:pStyle w:val="TextBody"/>
        <w:bidi w:val="0"/>
        <w:spacing w:before="240" w:after="283"/>
        <w:jc w:val="both"/>
        <w:rPr>
          <w:rFonts w:ascii="Arial" w:hAnsi="Arial"/>
          <w:color w:val="000000"/>
          <w:sz w:val="20"/>
        </w:rPr>
      </w:pPr>
      <w:r>
        <w:rPr>
          <w:rFonts w:ascii="Arial" w:hAnsi="Arial"/>
          <w:color w:val="000000"/>
          <w:sz w:val="20"/>
        </w:rPr>
        <w:t>Stock options outstanding and exercisable under the 2026 Plan, the 2020 Plan, and the 2024 Inducement Plan consisted of the following at June 30, 2026</w:t>
      </w:r>
    </w:p>
    <w:p>
      <w:pPr>
        <w:pStyle w:val="TextBody"/>
        <w:bidi w:val="0"/>
        <w:jc w:val="both"/>
        <w:rPr/>
      </w:pPr>
      <w:r>
        <w:rPr/>
        <w:t> </w:t>
      </w:r>
    </w:p>
    <w:tbl>
      <w:tblPr>
        <w:tblW w:w="4497" w:type="dxa"/>
        <w:jc w:val="left"/>
        <w:tblInd w:w="0" w:type="dxa"/>
        <w:tblLayout w:type="fixed"/>
        <w:tblCellMar>
          <w:top w:w="28" w:type="dxa"/>
          <w:left w:w="28" w:type="dxa"/>
          <w:bottom w:w="28" w:type="dxa"/>
          <w:right w:w="28" w:type="dxa"/>
        </w:tblCellMar>
      </w:tblPr>
      <w:tblGrid>
        <w:gridCol w:w="1471"/>
        <w:gridCol w:w="146"/>
        <w:gridCol w:w="146"/>
        <w:gridCol w:w="965"/>
        <w:gridCol w:w="146"/>
        <w:gridCol w:w="146"/>
        <w:gridCol w:w="155"/>
        <w:gridCol w:w="85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3.13</w:t>
            </w:r>
            <w:r>
              <w:rPr>
                <w:rFonts w:ascii="Times New Roman" w:hAnsi="Times New Roman"/>
                <w:color w:val="000000"/>
                <w:sz w:val="20"/>
              </w:rPr>
              <w:t> </w:t>
            </w:r>
            <w:r>
              <w:rPr>
                <w:rFonts w:ascii="Arial" w:hAnsi="Arial"/>
                <w:color w:val="000000"/>
                <w:sz w:val="20"/>
              </w:rPr>
              <w:t>to 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131,881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8.35</w:t>
            </w:r>
            <w:r>
              <w:rPr>
                <w:rFonts w:ascii="Times New Roman" w:hAnsi="Times New Roman"/>
                <w:color w:val="000000"/>
                <w:sz w:val="20"/>
              </w:rPr>
              <w:t> </w:t>
            </w:r>
            <w:r>
              <w:rPr>
                <w:rFonts w:ascii="Arial" w:hAnsi="Arial"/>
                <w:color w:val="000000"/>
                <w:sz w:val="20"/>
              </w:rPr>
              <w:t>to 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4,535,226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167,825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20.4</w:t>
            </w:r>
            <w:r>
              <w:rPr>
                <w:rFonts w:ascii="Times New Roman" w:hAnsi="Times New Roman"/>
                <w:color w:val="000000"/>
                <w:sz w:val="20"/>
              </w:rPr>
              <w:t> </w:t>
            </w:r>
            <w:r>
              <w:rPr>
                <w:rFonts w:ascii="Arial" w:hAnsi="Arial"/>
                <w:color w:val="000000"/>
                <w:sz w:val="20"/>
              </w:rPr>
              <w:t>to 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310,535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294.10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211,592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821,833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120" w:after="283"/>
        <w:jc w:val="both"/>
        <w:rPr>
          <w:rFonts w:ascii="Arial" w:hAnsi="Arial"/>
          <w:color w:val="000000"/>
          <w:sz w:val="20"/>
        </w:rPr>
      </w:pPr>
      <w:r>
        <w:rPr>
          <w:rFonts w:ascii="Arial" w:hAnsi="Arial"/>
          <w:color w:val="000000"/>
          <w:sz w:val="20"/>
        </w:rPr>
        <w:t>A summary of restricted stock unit ("RSU") activity under the 2026 Plan and the 2020 Plan for the six months ended June 30, 2026 is as follows:</w:t>
      </w:r>
    </w:p>
    <w:p>
      <w:pPr>
        <w:pStyle w:val="TextBody"/>
        <w:bidi w:val="0"/>
        <w:jc w:val="both"/>
        <w:rPr/>
      </w:pPr>
      <w:r>
        <w:rPr/>
        <w:t> </w:t>
      </w:r>
    </w:p>
    <w:tbl>
      <w:tblPr>
        <w:tblW w:w="5646" w:type="dxa"/>
        <w:jc w:val="left"/>
        <w:tblInd w:w="0" w:type="dxa"/>
        <w:tblLayout w:type="fixed"/>
        <w:tblCellMar>
          <w:top w:w="28" w:type="dxa"/>
          <w:left w:w="28" w:type="dxa"/>
          <w:bottom w:w="28" w:type="dxa"/>
          <w:right w:w="28" w:type="dxa"/>
        </w:tblCellMar>
      </w:tblPr>
      <w:tblGrid>
        <w:gridCol w:w="3091"/>
        <w:gridCol w:w="146"/>
        <w:gridCol w:w="146"/>
        <w:gridCol w:w="800"/>
        <w:gridCol w:w="166"/>
        <w:gridCol w:w="146"/>
        <w:gridCol w:w="292"/>
        <w:gridCol w:w="66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212121"/>
          <w:sz w:val="20"/>
        </w:rPr>
        <w:t>As of June 30, 2026, there was $1.6</w:t>
      </w:r>
      <w:r>
        <w:rPr>
          <w:rFonts w:ascii="Times New Roman" w:hAnsi="Times New Roman"/>
          <w:color w:val="212121"/>
          <w:sz w:val="20"/>
        </w:rPr>
        <w:t xml:space="preserve"> </w:t>
      </w:r>
      <w:r>
        <w:rPr>
          <w:rFonts w:ascii="Arial" w:hAnsi="Arial"/>
          <w:color w:val="212121"/>
          <w:sz w:val="20"/>
        </w:rPr>
        <w:t>million of total unrecognized compensation costs related to non-vested RSUs. The Company expects to recognize this cost over a remaining weighted-average period of 0.42</w:t>
      </w:r>
      <w:r>
        <w:rPr>
          <w:rFonts w:ascii="Times New Roman" w:hAnsi="Times New Roman"/>
          <w:color w:val="212121"/>
          <w:sz w:val="20"/>
        </w:rPr>
        <w:t xml:space="preserve"> </w:t>
      </w:r>
      <w:r>
        <w:rPr>
          <w:rFonts w:ascii="Arial" w:hAnsi="Arial"/>
          <w:color w:val="212121"/>
          <w:sz w:val="20"/>
        </w:rPr>
        <w:t>years.</w:t>
      </w:r>
      <w:r>
        <w:rPr>
          <w:rFonts w:ascii="Times New Roman" w:hAnsi="Times New Roman"/>
          <w:color w:val="212121"/>
          <w:sz w:val="20"/>
        </w:rPr>
        <w:t xml:space="preserve"> </w:t>
      </w:r>
    </w:p>
    <w:p>
      <w:pPr>
        <w:pStyle w:val="TextBody"/>
        <w:bidi w:val="0"/>
        <w:spacing w:before="36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12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6814"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796"/>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864,807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89,185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50,242,860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954,828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31, 2026.</w:t>
      </w:r>
    </w:p>
    <w:p>
      <w:pPr>
        <w:pStyle w:val="TextBody"/>
        <w:bidi w:val="0"/>
        <w:spacing w:before="36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4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sufficiency of our existing cash, cash equivalents and investments to fund our future operating expenses and capital expenditure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 and funding necessary for the payment of future milestone and other payments that may be earned by our collaboration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potential to complete the Phase 3 ELAINE-3 clinical trial for lasofoxifene and any subsequent clinical trials to show the clinical benefits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our Phase 2 brelgometon clinical trial and any subsequent clinical trials to show the beneficial characteristics, safety and efficacy of brelgometon;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ongoing clinical trials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 and the expected contributions of such personnel;</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for lasofoxifene to be a new standard of care in the genetically defined patient group;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may in the future be instituted against us and certain of our directors and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size and growth potential of the markets for our drug candidates, if approved for commercial use, and our ability to serve those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potential benefits of any strategic collaborations, partnerships, or other transactions we may enter into. </w:t>
      </w:r>
    </w:p>
    <w:p>
      <w:pPr>
        <w:pStyle w:val="TextBody"/>
        <w:bidi w:val="0"/>
        <w:spacing w:before="24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Arial" w:hAnsi="Arial"/>
          <w:color w:val="000000"/>
          <w:sz w:val="20"/>
        </w:rPr>
      </w:pPr>
      <w:r>
        <w:rPr>
          <w:rFonts w:ascii="Arial" w:hAnsi="Arial"/>
          <w:color w:val="000000"/>
          <w:sz w:val="20"/>
        </w:rPr>
        <w:t>This report includes our trademarks and registered trademarks, including the LeonaBio logo, and other trademarks, trade names, or service marks of LeonaBio.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rights or the rights of the applicable licensors to these trademarks, trade names, and service marks.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this report, “we,” “our,” “us,” “LeonaBio,” and “the Company” refer to LeonaBio, Inc. and its wholly-owned subsidiary.</w:t>
      </w:r>
    </w:p>
    <w:p>
      <w:pPr>
        <w:pStyle w:val="TextBody"/>
        <w:bidi w:val="0"/>
        <w:spacing w:before="36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clinical-stage biopharmaceutical company dedicated to the development of novel therapeutics for high unmet medical needs, including treatment-resistant metastatic breast cancer and amyotrophic lateral sclerosis (“ALS”), with the goal of improving patients’ lives.</w:t>
      </w:r>
    </w:p>
    <w:p>
      <w:pPr>
        <w:pStyle w:val="TextBody"/>
        <w:bidi w:val="0"/>
        <w:spacing w:before="240" w:after="283"/>
        <w:jc w:val="both"/>
        <w:rPr>
          <w:rFonts w:ascii="Arial" w:hAnsi="Arial"/>
          <w:color w:val="000000"/>
          <w:sz w:val="20"/>
        </w:rPr>
      </w:pPr>
      <w:r>
        <w:rPr>
          <w:rFonts w:ascii="Arial" w:hAnsi="Arial"/>
          <w:color w:val="000000"/>
          <w:sz w:val="20"/>
        </w:rPr>
        <w:t>In December 2025, we acquired rights to a promising late-stage asset, lasofoxifene, for the potential treatment of ESR1-mutated (“mESR1”) metastatic breast cancer. This late-stage program has generated promising clinical data and we believe it represents a unique and exciting opportunity to diversify our pipeline. We believe this program fits well with our later-stage clinical development experience, and complements our in-house asset, brelgometon (formerly known as ATH-1105), a Phase-2 ready program for the potential treatment of ALS.</w:t>
      </w:r>
    </w:p>
    <w:p>
      <w:pPr>
        <w:pStyle w:val="TextBody"/>
        <w:bidi w:val="0"/>
        <w:spacing w:before="240" w:after="283"/>
        <w:jc w:val="both"/>
        <w:rPr>
          <w:rFonts w:ascii="Arial" w:hAnsi="Arial"/>
          <w:color w:val="000000"/>
          <w:sz w:val="20"/>
        </w:rPr>
      </w:pPr>
      <w:r>
        <w:rPr>
          <w:rFonts w:ascii="Arial" w:hAnsi="Arial"/>
          <w:color w:val="000000"/>
          <w:sz w:val="20"/>
        </w:rPr>
        <w:t>The drug development landscape in both oncology and neuroscience is evolving rapidly, driven by breakthroughs in genetics, disease biology, and molecular pathway research. We are leveraging this scientific momentum to advance a pipeline of innovative, late-stage assets both internally developed and strategically in-licensed with the goal of accelerating their path to market and maximizing their clinical and commercial impact.</w:t>
      </w:r>
    </w:p>
    <w:p>
      <w:pPr>
        <w:pStyle w:val="TextBody"/>
        <w:bidi w:val="0"/>
        <w:spacing w:before="240" w:after="283"/>
        <w:jc w:val="both"/>
        <w:rPr>
          <w:rFonts w:ascii="Arial" w:hAnsi="Arial"/>
          <w:color w:val="000000"/>
          <w:sz w:val="20"/>
        </w:rPr>
      </w:pPr>
      <w:r>
        <w:rPr>
          <w:rFonts w:ascii="Arial" w:hAnsi="Arial"/>
          <w:color w:val="000000"/>
          <w:sz w:val="20"/>
        </w:rPr>
        <w:t>Our lead drug candidates, lasofoxifene and brelgometon,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w:t>
      </w:r>
    </w:p>
    <w:p>
      <w:pPr>
        <w:pStyle w:val="TextBody"/>
        <w:bidi w:val="0"/>
        <w:spacing w:before="360" w:after="283"/>
        <w:jc w:val="left"/>
        <w:rPr>
          <w:rFonts w:ascii="Arial" w:hAnsi="Arial"/>
          <w:b/>
          <w:color w:val="000000"/>
          <w:sz w:val="20"/>
        </w:rPr>
      </w:pPr>
      <w:r>
        <w:rPr>
          <w:rFonts w:ascii="Arial" w:hAnsi="Arial"/>
          <w:b/>
          <w:color w:val="000000"/>
          <w:sz w:val="20"/>
        </w:rPr>
        <w:t>Our Pipeline</w:t>
      </w:r>
    </w:p>
    <w:p>
      <w:pPr>
        <w:pStyle w:val="TextBody"/>
        <w:bidi w:val="0"/>
        <w:spacing w:before="120" w:after="283"/>
        <w:jc w:val="both"/>
        <w:rPr>
          <w:rFonts w:ascii="Times New Roman" w:hAnsi="Times New Roman"/>
          <w:sz w:val="20"/>
        </w:rPr>
      </w:pPr>
      <w:r>
        <w:rPr>
          <w:rFonts w:ascii="Arial" w:hAnsi="Arial"/>
          <w:color w:val="000000"/>
          <w:sz w:val="20"/>
        </w:rPr>
        <w:t>The following figure illustrates the current development stage of our proprietary drug candidates and early discovery and development programs, of which only lasofoxifene and brelgometon are currently in clinical development. Each program targets unmet needs in either oncology or neurology, leveraging differentiated mechanisms of action supported by preclinical and clinical evidence. Lasofoxifene, a selective estrogen receptor modulator (“SERM”), is currently being evaluated in an ongoing registrational Phase 3 trial for metastatic breast cancer with ESR1 mutations. Brelgometon, a small-molecule positive modulator of the neurotrophic HGF system, has completed a first-in-human Phase 1 trial, and planning for a Phase 2 clinical trial for the treatment of ALS is underway. We aim to advance these programs with a focus on disciplined clinical strategy and execution, data-driven decision making, and potential commercialization following receipt of applicable regulatory approvals. We are exploring the use of our drug candidates that enhance the neurotrophic HGF system, including ATH-1020, with the goal of improving neuronal health and function in multiple neurological diseases. In addition, our drug discovery efforts have focused on designing and testing new early compounds directed towards novel targets for a variety of clinical applications.</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120" w:after="283"/>
        <w:jc w:val="both"/>
        <w:rPr/>
      </w:pPr>
      <w:r>
        <w:rPr/>
        <w:drawing>
          <wp:inline distT="0" distB="0" distL="0" distR="0">
            <wp:extent cx="7219950" cy="2152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19950" cy="2152650"/>
                    </a:xfrm>
                    <a:prstGeom prst="rect">
                      <a:avLst/>
                    </a:prstGeom>
                  </pic:spPr>
                </pic:pic>
              </a:graphicData>
            </a:graphic>
          </wp:inline>
        </w:drawing>
      </w:r>
    </w:p>
    <w:p>
      <w:pPr>
        <w:pStyle w:val="TextBody"/>
        <w:bidi w:val="0"/>
        <w:spacing w:before="120" w:after="283"/>
        <w:jc w:val="both"/>
        <w:rPr/>
      </w:pPr>
      <w:r>
        <w:rPr/>
        <w:t> </w:t>
      </w:r>
    </w:p>
    <w:p>
      <w:pPr>
        <w:pStyle w:val="TextBody"/>
        <w:bidi w:val="0"/>
        <w:spacing w:before="120" w:after="283"/>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pStyle w:val="TextBody"/>
        <w:bidi w:val="0"/>
        <w:spacing w:before="24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commercial manufacturing organizations, or CMOs to manufacture and supply our preclinical and clinical materials during the development of our drug candidates. We believe the synthesis of lasofoxifene and brelgometon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4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in a subsequent follow-on public offering and in our December 2025 private placement, the sale and issuance of convertible preferred stock, common stock warrants, and convertible notes, and to a lesser extent from grant income and stock option exercises. From inception to June 30, 2026, we have raised aggregate net cash proceeds of approximately $489.8 million primarily from the issuance of our common stock (excluding option exercises), convertible preferred stock, common stock warrants, and convertible notes. We have incurred significant operating losses to date. Our net losses were $52.0 million and $16.1 million for the six months ended June 30, 2026 and 2025, respectively. As of June 30, 2026, we had an accumulated deficit of $563.7 million and cash, cash equivalents and investments of $51.1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continue to incur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lasofoxifene, brelgometon and any other drug candidates through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advance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protect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24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 Based upon our current operating plan, we estimate that our existing cash, cash equivalents and investments may not be sufficient to fund our operating expenses and capital expenditure requirements through at least the next 12 months following the date of this report.</w:t>
      </w:r>
    </w:p>
    <w:p>
      <w:pPr>
        <w:pStyle w:val="TextBody"/>
        <w:bidi w:val="0"/>
        <w:spacing w:before="360" w:after="283"/>
        <w:jc w:val="both"/>
        <w:rPr>
          <w:rFonts w:ascii="Arial" w:hAnsi="Arial"/>
          <w:b/>
          <w:color w:val="000000"/>
          <w:sz w:val="20"/>
        </w:rPr>
      </w:pPr>
      <w:r>
        <w:rPr>
          <w:rFonts w:ascii="Arial" w:hAnsi="Arial"/>
          <w:b/>
          <w:color w:val="000000"/>
          <w:sz w:val="20"/>
        </w:rPr>
        <w:t>Recent Developments</w:t>
      </w:r>
    </w:p>
    <w:p>
      <w:pPr>
        <w:pStyle w:val="TextBody"/>
        <w:bidi w:val="0"/>
        <w:spacing w:before="120" w:after="283"/>
        <w:jc w:val="both"/>
        <w:rPr>
          <w:rFonts w:ascii="Arial" w:hAnsi="Arial"/>
          <w:color w:val="000000"/>
          <w:sz w:val="20"/>
        </w:rPr>
      </w:pPr>
      <w:r>
        <w:rPr>
          <w:rFonts w:ascii="Arial" w:hAnsi="Arial"/>
          <w:color w:val="000000"/>
          <w:sz w:val="20"/>
        </w:rPr>
        <w:t>We have enrolled 495 of the ~600 participants in our ELAINE-3 clinical trial for lasofoxifene to date. We expect to complete enrollment in the fourth quarter of 2026 and to have topline data in the second half of 2027 for the ELAINE-3 trial. We expect to provide an update on the timing of our proposed Phase 2 proof-of-concept clinical trial for brelgometon following completion of enrollment of the ELAINE-3 clinical trial as we continue to focus on our lasofoxifene program.</w:t>
      </w:r>
    </w:p>
    <w:p>
      <w:pPr>
        <w:pStyle w:val="TextBody"/>
        <w:bidi w:val="0"/>
        <w:spacing w:before="36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12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including lasofoxifene and brelgometon.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pStyle w:val="TextBody"/>
        <w:bidi w:val="0"/>
        <w:spacing w:before="240" w:after="283"/>
        <w:jc w:val="both"/>
        <w:rPr>
          <w:rFonts w:ascii="Times New Roman" w:hAnsi="Times New Roman"/>
          <w:sz w:val="20"/>
        </w:rPr>
      </w:pPr>
      <w:r>
        <w:rPr>
          <w:rFonts w:ascii="Arial" w:hAnsi="Arial"/>
          <w:color w:val="000000"/>
          <w:sz w:val="20"/>
        </w:rPr>
        <w:t>We cannot reasonably determine the nature, timing, and estimated costs of the efforts that will be necessary to complete the development of, and obtain regulatory approval for, any of our drug candidates, including lasofoxifene or brelgometon. Drug candidates in later stages of development generally have higher development costs than those in earlier stages. We expect to continue to incur increased research and development expenses for the foreseeable future as we continue to engage in research and development activities related to developing our drug candidates, including lasofoxifene and brelgometon,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activities related to lasofoxifene and brelgometon;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collaborations, licensing or similar arrangements and the performance of any related third parties.</w:t>
      </w:r>
    </w:p>
    <w:p>
      <w:pPr>
        <w:pStyle w:val="TextBody"/>
        <w:bidi w:val="0"/>
        <w:spacing w:before="24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General and Administrative</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40" w:after="283"/>
        <w:jc w:val="both"/>
        <w:rPr>
          <w:rFonts w:ascii="Times New Roman" w:hAnsi="Times New Roman"/>
          <w:sz w:val="20"/>
        </w:rPr>
      </w:pPr>
      <w:r>
        <w:rPr>
          <w:rFonts w:ascii="Arial" w:hAnsi="Arial"/>
          <w:color w:val="000000"/>
          <w:sz w:val="20"/>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next several quarters as we continue to expend our cash balances to fund our ongoing operations.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Results of Operations</w:t>
      </w:r>
    </w:p>
    <w:p>
      <w:pPr>
        <w:pStyle w:val="TextBody"/>
        <w:bidi w:val="0"/>
        <w:spacing w:before="120" w:after="283"/>
        <w:jc w:val="both"/>
        <w:rPr>
          <w:rFonts w:ascii="Arial" w:hAnsi="Arial"/>
          <w:b/>
          <w:i/>
          <w:color w:val="000000"/>
          <w:sz w:val="20"/>
        </w:rPr>
      </w:pPr>
      <w:r>
        <w:rPr>
          <w:rFonts w:ascii="Arial" w:hAnsi="Arial"/>
          <w:b/>
          <w:i/>
          <w:color w:val="000000"/>
          <w:sz w:val="20"/>
        </w:rPr>
        <w:t>Comparison of the Three Months Ended June 30, 2026 and 2025</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spacing w:before="120" w:after="283"/>
        <w:jc w:val="both"/>
        <w:rPr/>
      </w:pPr>
      <w:r>
        <w:rPr/>
        <w:t> </w:t>
      </w:r>
    </w:p>
    <w:tbl>
      <w:tblPr>
        <w:tblW w:w="9131" w:type="dxa"/>
        <w:jc w:val="left"/>
        <w:tblInd w:w="0" w:type="dxa"/>
        <w:tblLayout w:type="fixed"/>
        <w:tblCellMar>
          <w:top w:w="28" w:type="dxa"/>
          <w:left w:w="28" w:type="dxa"/>
          <w:bottom w:w="28" w:type="dxa"/>
          <w:right w:w="28" w:type="dxa"/>
        </w:tblCellMar>
      </w:tblPr>
      <w:tblGrid>
        <w:gridCol w:w="3656"/>
        <w:gridCol w:w="146"/>
        <w:gridCol w:w="211"/>
        <w:gridCol w:w="751"/>
        <w:gridCol w:w="166"/>
        <w:gridCol w:w="146"/>
        <w:gridCol w:w="211"/>
        <w:gridCol w:w="646"/>
        <w:gridCol w:w="166"/>
        <w:gridCol w:w="146"/>
        <w:gridCol w:w="211"/>
        <w:gridCol w:w="751"/>
        <w:gridCol w:w="166"/>
        <w:gridCol w:w="146"/>
        <w:gridCol w:w="185"/>
        <w:gridCol w:w="536"/>
        <w:gridCol w:w="8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spacing w:before="1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spacing w:before="120" w:after="283"/>
        <w:jc w:val="both"/>
        <w:rPr/>
      </w:pPr>
      <w:r>
        <w:rPr/>
        <w:t> </w:t>
      </w:r>
    </w:p>
    <w:tbl>
      <w:tblPr>
        <w:tblW w:w="8561" w:type="dxa"/>
        <w:jc w:val="left"/>
        <w:tblInd w:w="0" w:type="dxa"/>
        <w:tblLayout w:type="fixed"/>
        <w:tblCellMar>
          <w:top w:w="28" w:type="dxa"/>
          <w:left w:w="28" w:type="dxa"/>
          <w:bottom w:w="28" w:type="dxa"/>
          <w:right w:w="28" w:type="dxa"/>
        </w:tblCellMar>
      </w:tblPr>
      <w:tblGrid>
        <w:gridCol w:w="3786"/>
        <w:gridCol w:w="146"/>
        <w:gridCol w:w="211"/>
        <w:gridCol w:w="676"/>
        <w:gridCol w:w="146"/>
        <w:gridCol w:w="146"/>
        <w:gridCol w:w="211"/>
        <w:gridCol w:w="571"/>
        <w:gridCol w:w="146"/>
        <w:gridCol w:w="146"/>
        <w:gridCol w:w="211"/>
        <w:gridCol w:w="571"/>
        <w:gridCol w:w="166"/>
        <w:gridCol w:w="146"/>
        <w:gridCol w:w="197"/>
        <w:gridCol w:w="569"/>
        <w:gridCol w:w="516"/>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Lasofoxifene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Fosgonimeton (ATH-1017)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Brelgometon (ATH-1105)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Preclinical programs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Milestone liability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Personnel-related costs, including stock-</w:t>
              <w:br/>
              <w:t>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Facilities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increased by $9.2 million, from $3.7 million for the three months ended June 30, 2025 to $12.9 million for the three months ended June 30, 2026. The increase was driven primarily by increases in lasofoxifene program costs of $9.1 million and personnel-related costs, including stock-based compensation of $1.2 million. These were offset by decreases in fosgonimeton program costs of $0.5 million and brelgometon program costs of $0.9 million. The $9.1 million increase in lasofoxifene program costs was driven by increases in contract research organization, clinical site visit and other third-party vendors costs of $6.2 million and an increase in contract manufacturing costs of $2.9 million. The $1.2 million increase in personnel-related costs, including stock-based compensation was driven by an increase in headcount to support the ELAINE-3 trial for lasofoxifene. The decrease in fosgonimeton program costs of $0.5 million was driven by decreases in contract research organization, other third-party vendors and clinical site visit costs of $0.5 million following the completion of our Phase 2/3 LIFT-AD clinical trial and the conclusion of our corresponding open-label extension for our Phase 2 ACT-AD and Phase 2/3 LIFT-AD clinical trials in the prior year. The decrease in brelgometon program costs of $0.9 million was driven by a decrease in contract research organization and other third-party vendor costs of $0.5 million and a decrease in research contract costs of $0.4 million. Refer to Note 3 to our unaudited condensed consolidated financial statements included elsewhere in this report for further discussion on the milestone liability change in fair value.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by approximately $3.0 million, from $3.6 million for the three months ended June 30, 2025 to $6.6 million for the three months ended June 30, 2026. The increase was primarily due to an increase in personnel-related expenses, including stock-based compensation of $1.9 million and professional service fees of $1.0 million</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increased by $0.1 million, from $0.3 million for the three months ended June 30, 2025 to $0.4 million for the three months ended June 30, 2026, due to higher income from accretion of discounts on debt securities purchased below par value and held to maturity and higher interest income earned on our available-for-sale securities. These increases resulted primarily from higher balances of available-for-sale securities held during the three months ended June 30, 2026 compared to the three months ended June 30, 2025.</w:t>
      </w:r>
    </w:p>
    <w:p>
      <w:pPr>
        <w:pStyle w:val="TextBody"/>
        <w:bidi w:val="0"/>
        <w:spacing w:before="360" w:after="283"/>
        <w:jc w:val="both"/>
        <w:rPr>
          <w:rFonts w:ascii="Times New Roman" w:hAnsi="Times New Roman"/>
          <w:sz w:val="20"/>
        </w:rPr>
      </w:pPr>
      <w:r>
        <w:rPr>
          <w:rFonts w:ascii="Arial" w:hAnsi="Arial"/>
          <w:b/>
          <w:i/>
          <w:color w:val="000000"/>
          <w:sz w:val="20"/>
        </w:rPr>
        <w:t>Comparison of the</w:t>
      </w:r>
      <w:r>
        <w:rPr>
          <w:rFonts w:ascii="Times New Roman" w:hAnsi="Times New Roman"/>
          <w:color w:val="000000"/>
          <w:sz w:val="20"/>
        </w:rPr>
        <w:t xml:space="preserve"> </w:t>
      </w:r>
      <w:r>
        <w:rPr>
          <w:rFonts w:ascii="Arial" w:hAnsi="Arial"/>
          <w:b/>
          <w:i/>
          <w:color w:val="000000"/>
          <w:sz w:val="20"/>
        </w:rPr>
        <w:t>Six Months Ended June 30, 2026 and 2025</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9621" w:type="dxa"/>
        <w:jc w:val="left"/>
        <w:tblInd w:w="0" w:type="dxa"/>
        <w:tblLayout w:type="fixed"/>
        <w:tblCellMar>
          <w:top w:w="28" w:type="dxa"/>
          <w:left w:w="28" w:type="dxa"/>
          <w:bottom w:w="28" w:type="dxa"/>
          <w:right w:w="28" w:type="dxa"/>
        </w:tblCellMar>
      </w:tblPr>
      <w:tblGrid>
        <w:gridCol w:w="4156"/>
        <w:gridCol w:w="146"/>
        <w:gridCol w:w="211"/>
        <w:gridCol w:w="751"/>
        <w:gridCol w:w="166"/>
        <w:gridCol w:w="146"/>
        <w:gridCol w:w="211"/>
        <w:gridCol w:w="751"/>
        <w:gridCol w:w="166"/>
        <w:gridCol w:w="146"/>
        <w:gridCol w:w="211"/>
        <w:gridCol w:w="751"/>
        <w:gridCol w:w="166"/>
        <w:gridCol w:w="146"/>
        <w:gridCol w:w="197"/>
        <w:gridCol w:w="569"/>
        <w:gridCol w:w="73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20"/>
              </w:rPr>
            </w:pPr>
            <w:r>
              <w:rPr>
                <w:rFonts w:ascii="Arial" w:hAnsi="Arial"/>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Sermonix pre-funded warrant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spacing w:before="360" w:after="283"/>
        <w:jc w:val="both"/>
        <w:rPr>
          <w:rFonts w:ascii="Arial" w:hAnsi="Arial"/>
          <w:b/>
          <w:color w:val="000000"/>
          <w:sz w:val="20"/>
        </w:rPr>
      </w:pPr>
      <w:r>
        <w:rPr>
          <w:rFonts w:ascii="Arial" w:hAnsi="Arial"/>
          <w:b/>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left"/>
        <w:rPr/>
      </w:pPr>
      <w:r>
        <w:rPr/>
        <w:t> </w:t>
      </w:r>
    </w:p>
    <w:tbl>
      <w:tblPr>
        <w:tblW w:w="8686" w:type="dxa"/>
        <w:jc w:val="left"/>
        <w:tblInd w:w="0" w:type="dxa"/>
        <w:tblLayout w:type="fixed"/>
        <w:tblCellMar>
          <w:top w:w="28" w:type="dxa"/>
          <w:left w:w="28" w:type="dxa"/>
          <w:bottom w:w="28" w:type="dxa"/>
          <w:right w:w="28" w:type="dxa"/>
        </w:tblCellMar>
      </w:tblPr>
      <w:tblGrid>
        <w:gridCol w:w="3786"/>
        <w:gridCol w:w="146"/>
        <w:gridCol w:w="211"/>
        <w:gridCol w:w="676"/>
        <w:gridCol w:w="166"/>
        <w:gridCol w:w="146"/>
        <w:gridCol w:w="211"/>
        <w:gridCol w:w="571"/>
        <w:gridCol w:w="146"/>
        <w:gridCol w:w="146"/>
        <w:gridCol w:w="211"/>
        <w:gridCol w:w="676"/>
        <w:gridCol w:w="166"/>
        <w:gridCol w:w="146"/>
        <w:gridCol w:w="197"/>
        <w:gridCol w:w="569"/>
        <w:gridCol w:w="516"/>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Lasofoxifene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Fosgonimeton (ATH-1017)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Brelgometon (ATH-1105)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ATH-1020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Preclinical programs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Personnel-related costs, including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increased by $15.2 million, from $8.0 million for the six months ended June 30, 2025 to $23.2 million six months ended June 30, 2026. The increase was driven primarily by increases in lasofoxifene program costs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of $17.7 million and personnel-related costs, including stock-based compensation of $1.4 million. These were offset by decreases in fosgonimeton program costs of $1.7 million and brelgometon program costs of $1.6 million. The $17.7 million increase in lasofoxifene program costs was driven by increases in contract research organization, clinical site visit and other third-party vendors costs of $12.8 million and an increase in contract manufacturing costs of $4.9 million. The $1.4 million increase in personnel-related costs, including stock-based compensation was driven by an increase in headcount to support the ELAINE-3 trial for lasofoxifene. The decrease in fosgonimeton program costs of $1.7 million was driven by decreases in contract research organization, other third-party vendor and clinical site visit costs of $1.7 million following the completion of our Phase 2/3 LIFT-AD clinical trial and the conclusion of our corresponding open-label extension for our Phase 2 ACT-AD and Phase 2/3 LIFT-AD clinical trials in the prior year. The decrease in brelgometon program costs of $1.6 million was driven by a decrease in contract research organization and other third-party vendor costs of $0.9 million and a decrease in research contract costs of $0.7 million. Refer to Note 3 to our unaudited condensed consolidated financial statements included elsewhere in this report for further discussion on the milestone liability change in fair value.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by approximately $4.6 million, from $8.9 million for the six months ended June 30, 2025 to $13.5 million for the six months ended June 30, 2026. The increase was primarily due to an increase in personnel-related expenses, including stock-based compensation of $1.8 million and an increase in professional service expenses of $2.8 million.</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increased by $0.3 million, from $0.7 million for the six months ended June 30, 2025 to $1.0 million for the six months ended June 30, 2026 due to higher income from accretion of discounts on debt securities purchased below par value and held to maturity and higher interest income earned on our available-for-sale securities. These increases resulted primarily from higher balances of available-for-sale securities held during the six months ended June 30, 2026 compared to the six months ended June 30, 2025.</w:t>
      </w:r>
    </w:p>
    <w:p>
      <w:pPr>
        <w:pStyle w:val="TextBody"/>
        <w:bidi w:val="0"/>
        <w:spacing w:before="360" w:after="283"/>
        <w:jc w:val="both"/>
        <w:rPr>
          <w:rFonts w:ascii="Times New Roman" w:hAnsi="Times New Roman"/>
          <w:sz w:val="20"/>
        </w:rPr>
      </w:pPr>
      <w:r>
        <w:rPr>
          <w:rFonts w:ascii="Arial" w:hAnsi="Arial"/>
          <w:b/>
          <w:color w:val="000000"/>
          <w:sz w:val="20"/>
        </w:rPr>
        <w:t>Sermonix Pre-Funded Warrant Change in Fair Value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Sermonix Pre-funded Warrant change in fair value increased by $16.3 million, from $0 for the six months ended June 30, 2025 to $16.3 million for the six months ended June 30, 2026. Refer to Note 3 to our unaudited condensed consolidated financial statements included elsewhere in this report for further discussion.</w:t>
      </w:r>
    </w:p>
    <w:p>
      <w:pPr>
        <w:pStyle w:val="TextBody"/>
        <w:bidi w:val="0"/>
        <w:spacing w:before="36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of Liquidity</w:t>
      </w:r>
    </w:p>
    <w:p>
      <w:pPr>
        <w:pStyle w:val="TextBody"/>
        <w:bidi w:val="0"/>
        <w:spacing w:before="12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prefunded common stock warrants and convertible notes, and to a lesser extent from grant income and stock option exercises. From our inception through June 30, 2026, we have raised aggregate net cash proceeds of $489.8 million primarily from the issuance of our common stock (excluding option exercises), convertible preferred stock, common stock warrants, prefunded common stock warrants and convertible notes.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December 18, 2025, we entered into the PIPE Securities Purchase Agreement with a select group of investors, including Commodore Capital LP, or Commodore, TCGX Crossover Management LLC, or TCGX , Perceptive and other accredited investors, one of which is affiliated with a member of our board of directors, pursuant to which the PIPE Purchasers agreed to purchase and we agreed to issue and sell, by way of the Private Placement, an aggregate of (a) 5,356,547 shares (the “PIPE Initial Shares”) of our common stock and (b) pre-funded warrants (the “PIPE Pre-Funded Warrants”) to purchase 8,816,684 shares of our common stock (the “PIPE Pre-Funded Warrant Shares”) and (c) accompanying warrants (the “PIPE Series A Common Warrants”) to purchase 23,031,494 shares of our common stock and/or shares underlying pre-funded warrants, representing 162.5% of the aggregate of PIPE Initial Shares and the shares of our common stock underlying the PIPE Pre-Funded Warrants (the shares, or the shares issuable pursuant to such pre-funded warrants, the “PIPE Series A Common Warrant Shares”) and (d) accompanying warrants (the “PIPE Series B Common Warrants” and, together with the PIPE Series A Common Warrants and the PIPE Pre-Funded Warrants, the “PIPE Warrants”, and the PIPE Warrants, together with the PIPE Initial Shares, the “PIPE Securities”) to purchase 21,259,842 shares of our common stock and/or shares underlying pre-funded warrants, representing 150% of the aggregate of PIPE Initial Shares and the shares of our common stock underlying the PIPE Pre-Funded Warrants (the shares, or the shares issuable pursuant to such pre-funded warrants, the “PIPE Series B Common Warrant Shares” and, together with the PIPE Initial Shares, the PIPE Pre-Funded Warrant Shares and the PIPE Series A Common Warrant Shares, the “PIPE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Shares”). The purchase price for each PIPE Initial Share (including the accompanying PIPE Series A Common Warrants and PIPE Series B Common Warrants) was $6.35 and the purchase price for each PIPE Pre-Funded Warrant (including the accompanying PIPE Series A Common Warrants and PIPE Series B Common Warrants) was $6.349 per each underlying PIPE Pre-Funded Warrant Share. Gross proceeds from the Private Placement were approximately $90 million, excluding placement agent fees and offering expenses. The closing of the Private Placement (the “Private Placement Closing”) occurred on December 23,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At the Private Placement Closing, we entered into a registration rights agreement (the “PIPE Registration Rights Agreement”) with the PIPE Purchasers pursuant to which we were required to prepare and file a registration statement with the SEC to register the resale of the PIPE Shares, to have the registration statement declared effective and to maintain effectiveness of the registration statement, subject to certain exceptions. The registration statement was declared effective in April 2026. If we fail to meet certain of the requirements in the PIPE Registration Rights Agreement following the Private Placement Closing, we will pay liquidated damages to the PIPE Purchasers as provided in the PIPE Registration Rights Agreement.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PIPE Pre-Funded Warrants are exercisable at an exercise price of $0.001 per share, subject to customary adjustments under the terms thereof and are exercisable at any time, subject to the restriction discussed below. The PIPE Series A Common Warrants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we publicly announce,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 the “Series A Common Warrant Initial Exercise Date”). The PIPE Series A Common Warrants will remain exercisable until the 30th day following the Series A Common Warrant Initial Exercise Date (the “Series A Common Warrant Termination Date”), except that if the Series A Common Warrant Initial Exercise Date has not occurred by December 23, 2030, then December 23, 2030 will be the Series A Common Warrant Termination Date. The PIPE Series B Common Warrants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trial (the later of (1) and (2), the “Series B Common Warrant Initial Exercise Date”). The PIPE Series B Common Warrants will remain exercisable until the 30th day following the Series B Common Warrant Initial Exercise Date (the “Series B Common Warrant Termination Date”), except that if the Series B Common Warrant Initial Exercise Date has not occurred by December 23, 2030, then December 23, 2030 will be the Series B Common Warrant Termination Date.</w:t>
      </w:r>
    </w:p>
    <w:p>
      <w:pPr>
        <w:pStyle w:val="TextBody"/>
        <w:bidi w:val="0"/>
        <w:spacing w:before="240" w:after="283"/>
        <w:jc w:val="both"/>
        <w:rPr>
          <w:rFonts w:ascii="Times New Roman" w:hAnsi="Times New Roman"/>
          <w:sz w:val="20"/>
        </w:rPr>
      </w:pPr>
      <w:r>
        <w:rPr>
          <w:rFonts w:ascii="Arial" w:hAnsi="Arial"/>
          <w:color w:val="000000"/>
          <w:sz w:val="20"/>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our common stock would be aggregated with the PIPE Purchaser for purposes of Section 13(d) of the Exchange Act, would beneficially own more than 4.99%, 9.99% or 19.99%, at the election of the PIPE Purchaser (in each case, the “PIPE Maximum Percentage”) of the total number of issued and outstanding shares of our common stock following such exercise. If, upon exercise of the PIPE Series A Common Warrants or PIPE Series B Common Warrants, a PIPE Purchaser would exceed the PIPE Maximum Percentage, then the PIPE Series A Common Warrants and PIPE Series B Common Warrants may be exercised for pre-funded warrants to purchase shares of our common stock, which pre-funded warrants will have terms substantially the same as the PIPE Pre-Funded Warrants. The PIPE Maximum Percentage may be increased or decreased by a PIPE Purchaser with 61 days’ written notice to us; provided, however, that such percentage may in no event exceed (x) 19.99% prior to a vote of our stockholders approving the removal of such exercise limitation or (y) with respect to certain PIPE Purchasers, 4.99%.</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will use the net proceeds from the Private Placement for working capital and will not use such proceeds for (1) the repayment of borrowed debt, (2) to redeem any shares of our common stock or any of our securities that would entitle the holder thereof to acquire at any time shares of our common stock, subject to certain exceptions, (3) for the settlement of any litigation that is outstanding as of the Private Placement Closing, and (4) to in-license or develop a drug candidate other than lasofoxifene or any drug or drug candidate in our pipeline as of the Private Placement Closing until the earlier of such time as the topline results of ELAINE-3 become available and the second anniversary of the effective date of the PIPE Securities Purchase Agreement.</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As of June 30, 2026, we had $51.1 million in cash, cash equivalents and investments and have not generated positive cash flows from operations. Since our inception, we have not generated positive cash flows from operations and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36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120" w:after="283"/>
        <w:jc w:val="both"/>
        <w:rPr>
          <w:rFonts w:ascii="Times New Roman" w:hAnsi="Times New Roman"/>
          <w:sz w:val="20"/>
        </w:rPr>
      </w:pPr>
      <w:r>
        <w:rPr>
          <w:rFonts w:ascii="Arial" w:hAnsi="Arial"/>
          <w:color w:val="000000"/>
          <w:sz w:val="20"/>
        </w:rPr>
        <w:t>Our material cash requirements include our operating leases for laboratory and office facilities. As of June 30, 2026, we had lease payment obligations of $0.7 million, with $0.5 million payable within 12 months. For additional information regarding our lease commitments, refer to Note 7 to our unaudited condensed consolidated financial statements included elsewhere in this report. Additionally, we have purchase obligations and open purchase orders that support normal operations and are primarily due in the next 12 months. These purchase obligations and open purchase orders are generally cancellable in full or in part through the contractual provisions. We expect to continue to incur increased research and development expenses for the foreseeable future as we continue to engage in research and development activities related to developing our drug candidates, including lasofoxifene and brelgometon,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expect to continue to incur increased general and administrative expenses for the foreseeable future as we support our continued research activities and development of our programs.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Based upon our current operating plan, we estimate that our $51.1 million of cash, cash equivalents and investments at June 30, 2026 may not be sufficient to fund our operating expenses and capital expenditure requirements through at least the 12 months which raises substantial doubt as to our ability to continue as a going concern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connection with the Private Placement, we issued the Series A Common Warrants that have an exercise price of $6.35 per share to be paid in cash (unless a resale registration statement is unavailable at the time of exercise, in which case the PIPE Series A Common Warrants will be exercisable on a cashless net exercise basis) and are exercisable at each holders option on the Series A Common Warrant Initial Exercise Date. The Series A Common Warrants will remain exercisable at the holders option until the 30th day following the Series A Common Warrant Initial Exercise Date (the “Series A Common Warrant Termination Date”), which Series A Common Warrant Termination Date will be no later than November 30, 2026. If exercised in full, the Series A Common Warrants would provide us with $146.2 million of additional capital. In January 2023, we entered into a sales agreement with Cantor Fitzgerald and BTIG to sell shares of our common stock having aggregate sales proceeds of up to $75.0 million, from time to time, subject to any applicable limitations on sales pursuant to SEC rules and regulations, through an ATM equity offering program under which Cantor Fitzgerald and BTIG are acting as sales agents, however, we are currently unable to offer and sell shares under this facility due to our ineligibility to use a Registration Statement on Form S-3 through December 2026.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FDA, EMA and any other regulatory agencies to accept lasofoxifene or brelgometon clinical trial data, as well as data from any completed and planned clinical and nonclinical studies and other work, as the basis for review and approval of lasofoxifene for breast cancer and brelgometon for ALS, and the potential need for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collaborations,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any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any expansion of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4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360" w:after="283"/>
        <w:jc w:val="both"/>
        <w:rPr>
          <w:rFonts w:ascii="Arial" w:hAnsi="Arial"/>
          <w:b/>
          <w:i/>
          <w:color w:val="000000"/>
          <w:sz w:val="20"/>
        </w:rPr>
      </w:pPr>
      <w:r>
        <w:rPr>
          <w:rFonts w:ascii="Arial" w:hAnsi="Arial"/>
          <w:b/>
          <w:i/>
          <w:color w:val="000000"/>
          <w:sz w:val="20"/>
        </w:rPr>
        <w:t>Cash Flows:</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7732" w:type="dxa"/>
        <w:jc w:val="left"/>
        <w:tblInd w:w="0" w:type="dxa"/>
        <w:tblLayout w:type="fixed"/>
        <w:tblCellMar>
          <w:top w:w="28" w:type="dxa"/>
          <w:left w:w="28" w:type="dxa"/>
          <w:bottom w:w="28" w:type="dxa"/>
          <w:right w:w="28" w:type="dxa"/>
        </w:tblCellMar>
      </w:tblPr>
      <w:tblGrid>
        <w:gridCol w:w="4846"/>
        <w:gridCol w:w="146"/>
        <w:gridCol w:w="212"/>
        <w:gridCol w:w="756"/>
        <w:gridCol w:w="167"/>
        <w:gridCol w:w="146"/>
        <w:gridCol w:w="212"/>
        <w:gridCol w:w="756"/>
        <w:gridCol w:w="4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(36,953</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(28,550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Operating Activities</w:t>
      </w:r>
    </w:p>
    <w:p>
      <w:pPr>
        <w:pStyle w:val="TextBody"/>
        <w:bidi w:val="0"/>
        <w:spacing w:before="120" w:after="283"/>
        <w:jc w:val="both"/>
        <w:rPr>
          <w:rFonts w:ascii="Arial" w:hAnsi="Arial"/>
          <w:color w:val="000000"/>
          <w:sz w:val="20"/>
        </w:rPr>
      </w:pPr>
      <w:r>
        <w:rPr>
          <w:rFonts w:ascii="Arial" w:hAnsi="Arial"/>
          <w:color w:val="000000"/>
          <w:sz w:val="20"/>
        </w:rPr>
        <w:t>During the six months ended June 30, 2026, net cash used in operating activities was $37.9 million. This consisted primarily of a net loss of $52.0 million, partially offset by non-cash charges of $19.5 million, and an increase in our net operating assets of $5.4 million. The non-cash charges primarily consisted of a change in fair value of our Sermonix pre-funded warrant and milestone liability, stock-based compensation expense, depreciation expense, non-cash lease expense, and amortization of premiums and accretion of discounts on available-for-sale securities. The increase in our net operating assets was primarily due to a decrease in accounts payable and accrued liabilities, an increase in prepaid expenses and other assets, and decreases in operating lease liability and long-term liabilities.</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2025, net cash used in operating activities was $21.7 million. This consisted primarily of a net loss of $16.1 million, partially offset by non-cash charges of $3.7 million, and an increase in our net operating assets of $9.2 million. The non-cash charges primarily consisted of stock-based compensation expense, depreciation expense, non-cash lease expense, and amortization of premiums and accretion of discounts on available-for-sale securities. The increase in our net operating assets was primarily due to a decrease in accrued expenses, partially offset by an increase in accounts payable and a decrease in prepaid expenses and other assets.</w:t>
      </w:r>
    </w:p>
    <w:p>
      <w:pPr>
        <w:pStyle w:val="TextBody"/>
        <w:bidi w:val="0"/>
        <w:spacing w:before="360" w:after="283"/>
        <w:jc w:val="both"/>
        <w:rPr>
          <w:rFonts w:ascii="Arial" w:hAnsi="Arial"/>
          <w:b/>
          <w:i/>
          <w:color w:val="000000"/>
          <w:sz w:val="20"/>
        </w:rPr>
      </w:pPr>
      <w:r>
        <w:rPr>
          <w:rFonts w:ascii="Arial" w:hAnsi="Arial"/>
          <w:b/>
          <w:i/>
          <w:color w:val="000000"/>
          <w:sz w:val="20"/>
        </w:rPr>
        <w:t>Investing Activities</w:t>
      </w:r>
    </w:p>
    <w:p>
      <w:pPr>
        <w:pStyle w:val="TextBody"/>
        <w:bidi w:val="0"/>
        <w:spacing w:before="120" w:after="283"/>
        <w:jc w:val="both"/>
        <w:rPr>
          <w:rFonts w:ascii="Arial" w:hAnsi="Arial"/>
          <w:color w:val="000000"/>
          <w:sz w:val="20"/>
        </w:rPr>
      </w:pPr>
      <w:r>
        <w:rPr>
          <w:rFonts w:ascii="Arial" w:hAnsi="Arial"/>
          <w:color w:val="000000"/>
          <w:sz w:val="20"/>
        </w:rPr>
        <w:t>During the six months ended June 30, 2026, net cash used in investing was $0.8 million. This consisted of purchases of available-for-sale securities of $30.8 million, partially offset by maturities of available-for-sale securities of $31.6 million.</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2025, net cash used in investing was $6.9 million. This consisted of purchases of available-for-sale securities of $16.3 million, partially offset by maturities of available-for-sale securities of $9.4 million.</w:t>
      </w:r>
    </w:p>
    <w:p>
      <w:pPr>
        <w:pStyle w:val="TextBody"/>
        <w:bidi w:val="0"/>
        <w:spacing w:before="360" w:after="283"/>
        <w:jc w:val="both"/>
        <w:rPr>
          <w:rFonts w:ascii="Arial" w:hAnsi="Arial"/>
          <w:b/>
          <w:i/>
          <w:color w:val="000000"/>
          <w:sz w:val="20"/>
        </w:rPr>
      </w:pPr>
      <w:r>
        <w:rPr>
          <w:rFonts w:ascii="Arial" w:hAnsi="Arial"/>
          <w:b/>
          <w:i/>
          <w:color w:val="000000"/>
          <w:sz w:val="20"/>
        </w:rPr>
        <w:t>Financing Activities</w:t>
      </w:r>
    </w:p>
    <w:p>
      <w:pPr>
        <w:pStyle w:val="TextBody"/>
        <w:bidi w:val="0"/>
        <w:spacing w:before="120" w:after="283"/>
        <w:jc w:val="both"/>
        <w:rPr>
          <w:rFonts w:ascii="Arial" w:hAnsi="Arial"/>
          <w:color w:val="000000"/>
          <w:sz w:val="20"/>
        </w:rPr>
      </w:pPr>
      <w:r>
        <w:rPr>
          <w:rFonts w:ascii="Arial" w:hAnsi="Arial"/>
          <w:color w:val="000000"/>
          <w:sz w:val="20"/>
        </w:rPr>
        <w:t>During the six months ended June 30, 2026, net cash provided by financing activities was $0.1 million, consisting of proceeds received from the issuance of common stock under our employee stock purchase plan.</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2025, net cash provided by financing activities was $0.02 million, consisting of proceeds received from the issuance of common stock under our employee stock purchase plan.</w:t>
      </w:r>
    </w:p>
    <w:p>
      <w:pPr>
        <w:pStyle w:val="TextBody"/>
        <w:bidi w:val="0"/>
        <w:spacing w:before="36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2026,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31, 2026 and Note 2 to our unaudited condensed consolidated financial statements included elsewhere in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360" w:after="283"/>
        <w:jc w:val="both"/>
        <w:rPr>
          <w:rFonts w:ascii="Arial" w:hAnsi="Arial"/>
          <w:b/>
          <w:color w:val="000000"/>
          <w:sz w:val="20"/>
        </w:rPr>
      </w:pPr>
      <w:bookmarkStart w:id="11" w:name="item_4_controls_procedures"/>
      <w:bookmarkEnd w:id="11"/>
      <w:r>
        <w:rPr>
          <w:rFonts w:ascii="Arial" w:hAnsi="Arial"/>
          <w:b/>
          <w:color w:val="000000"/>
          <w:sz w:val="20"/>
        </w:rPr>
        <w:t>Item 4. Controls and Procedures.</w:t>
      </w:r>
    </w:p>
    <w:p>
      <w:pPr>
        <w:pStyle w:val="TextBody"/>
        <w:bidi w:val="0"/>
        <w:spacing w:before="12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We maintain “disclosure controls and procedures,” as defined in Rules 13a-15(e) and 15d-15(e) under the Securities Exchange Act of 1934,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36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3" w:name="item_1_legal_proceedings"/>
      <w:bookmarkEnd w:id="13"/>
      <w:r>
        <w:rPr>
          <w:rFonts w:ascii="Arial" w:hAnsi="Arial"/>
          <w:b/>
          <w:color w:val="000000"/>
          <w:sz w:val="20"/>
        </w:rPr>
        <w:t>Item 1. Legal Proceedings.</w:t>
      </w:r>
    </w:p>
    <w:p>
      <w:pPr>
        <w:pStyle w:val="TextBody"/>
        <w:bidi w:val="0"/>
        <w:spacing w:before="120" w:after="283"/>
        <w:jc w:val="both"/>
        <w:rPr>
          <w:rFonts w:ascii="Arial" w:hAnsi="Arial"/>
          <w:color w:val="000000"/>
          <w:sz w:val="20"/>
        </w:rPr>
      </w:pPr>
      <w:r>
        <w:rPr>
          <w:rFonts w:ascii="Arial" w:hAnsi="Arial"/>
          <w:color w:val="000000"/>
          <w:sz w:val="20"/>
        </w:rPr>
        <w:t>From time to time, we may be subject to various legal proceedings or claims that arise in the ordinary course of business. As of June 30, 2026,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both"/>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12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Heading1"/>
        <w:bidi w:val="0"/>
        <w:spacing w:before="360" w:after="283"/>
        <w:jc w:val="left"/>
        <w:rPr>
          <w:rFonts w:ascii="Arial" w:hAnsi="Arial"/>
          <w:color w:val="000000"/>
          <w:sz w:val="20"/>
        </w:rPr>
      </w:pPr>
      <w:r>
        <w:rPr>
          <w:rFonts w:ascii="Arial" w:hAnsi="Arial"/>
          <w:color w:val="000000"/>
          <w:sz w:val="20"/>
        </w:rPr>
        <w:t>Risks Related to Our Business and the Development of Our Drug Candidates</w:t>
      </w:r>
    </w:p>
    <w:p>
      <w:pPr>
        <w:pStyle w:val="TextBody"/>
        <w:bidi w:val="0"/>
        <w:spacing w:before="120" w:after="283"/>
        <w:jc w:val="both"/>
        <w:rPr>
          <w:rFonts w:ascii="Arial" w:hAnsi="Arial"/>
          <w:b/>
          <w:i/>
          <w:color w:val="000000"/>
          <w:sz w:val="20"/>
        </w:rPr>
      </w:pPr>
      <w:r>
        <w:rPr>
          <w:rFonts w:ascii="Arial" w:hAnsi="Arial"/>
          <w:b/>
          <w:i/>
          <w:color w:val="000000"/>
          <w:sz w:val="20"/>
        </w:rPr>
        <w:t>We are a clinical-stage biopharmaceutical company with a limited operating history.</w:t>
      </w:r>
    </w:p>
    <w:p>
      <w:pPr>
        <w:pStyle w:val="TextBody"/>
        <w:bidi w:val="0"/>
        <w:spacing w:before="120" w:after="283"/>
        <w:jc w:val="both"/>
        <w:rPr>
          <w:rFonts w:ascii="Times New Roman" w:hAnsi="Times New Roman"/>
          <w:sz w:val="20"/>
        </w:rPr>
      </w:pPr>
      <w:r>
        <w:rPr>
          <w:rFonts w:ascii="Arial" w:hAnsi="Arial"/>
          <w:color w:val="000000"/>
          <w:sz w:val="20"/>
        </w:rPr>
        <w:t>We are a clinical-stage biopharmaceutical company dedicated to the development of novel therapeutics for high unmet medical needs.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fail to or be unable to design and execute clinical trials to support marketing approval of lasofoxifene, brelgometon,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candidates, which may also limit their commercial potential.</w:t>
      </w:r>
    </w:p>
    <w:p>
      <w:pPr>
        <w:pStyle w:val="TextBody"/>
        <w:bidi w:val="0"/>
        <w:spacing w:before="360" w:after="283"/>
        <w:jc w:val="both"/>
        <w:rPr>
          <w:rFonts w:ascii="Arial" w:hAnsi="Arial"/>
          <w:b/>
          <w:i/>
          <w:color w:val="000000"/>
          <w:sz w:val="20"/>
        </w:rPr>
      </w:pPr>
      <w:r>
        <w:rPr>
          <w:rFonts w:ascii="Arial" w:hAnsi="Arial"/>
          <w:b/>
          <w:i/>
          <w:color w:val="000000"/>
          <w:sz w:val="20"/>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are developing lasofoxifene to treat breast cancer. Lasofoxifene is a novel SERM that inhibits estrogen receptor signaling in both wild-type and ESR1-mutated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fully disrupts the activation helix within the ER ligand-binding domain, uniquely preventing downstream estrogen signaling. This mechanism effectively shuts down the constitutive signaling that drives proliferation and metastasis in ESR1-mutated tumors. We cannot be certain of the safety and efficacy of lasofoxifene in applicable patients or that our clinical trials will provide sufficient evidence that our design approach results in the intended therapeutic effect.</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lasofoxifene. We or a future partner may ultimately determine that lasofoxifene does not possess certain properties required for therapeutic effectiveness. We or a future partner may spend substantial funds attempting to develop lasofoxifene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approach to targeting neurotrophic factors through the use of small molecules like brelgometon is based on a novel therapeutic approach, which exposes us to unforeseen risks. We have limited data from preclinical studies and clinical trials to date, including for brelgometon,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have discovered and are developing small molecule drug candidates to treat neurodegenerative diseases, including ALS.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central nervous system. Our small molecule drug candidates are designed to penetrate the blood brain barrier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pStyle w:val="TextBody"/>
        <w:bidi w:val="0"/>
        <w:spacing w:before="240" w:after="283"/>
        <w:jc w:val="both"/>
        <w:rPr>
          <w:rFonts w:ascii="Arial" w:hAnsi="Arial"/>
          <w:color w:val="000000"/>
          <w:sz w:val="20"/>
        </w:rPr>
      </w:pPr>
      <w:r>
        <w:rPr>
          <w:rFonts w:ascii="Arial" w:hAnsi="Arial"/>
          <w:color w:val="000000"/>
          <w:sz w:val="20"/>
        </w:rPr>
        <w:t>For example, fosgonimeton, a first-generation small molecule designed to positively modulate the neurotrophic HGF system for potential treatment of CNS disorders, was tested in Phase 1 to 2/3 clinical trials. 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The topline data from our Phase 2/3 LIFT-AD clinical trial of fosgonimeton in AD showed that neither the trial’s primary endpoint (the Global Statistical Test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pStyle w:val="TextBody"/>
        <w:bidi w:val="0"/>
        <w:spacing w:before="240" w:after="283"/>
        <w:jc w:val="both"/>
        <w:rPr>
          <w:rFonts w:ascii="Arial" w:hAnsi="Arial"/>
          <w:color w:val="000000"/>
          <w:sz w:val="20"/>
        </w:rPr>
      </w:pPr>
      <w:r>
        <w:rPr>
          <w:rFonts w:ascii="Arial" w:hAnsi="Arial"/>
          <w:color w:val="000000"/>
          <w:sz w:val="20"/>
        </w:rPr>
        <w:t>Since the readout of topline data from LIFT-AD, in September 2024 we have been focused on advancing the clinical development program for brelgometon, a next generation small molecule designed for the potential treatment of ALS. We completed our first-in-human Phase 1 clinical trial in healthy volunteers evaluating the safety and tolerability of brelgometon, in November 2024. The results of the Phase 1 clinical trial showed that brelgometon demonstrated a favorable safety profile and was well-tolerated in healthy volunteers, supporting continued clinical development. We have substantially completed preparation activities to enable initiation of a future clinical trial in people living with ALS, either by us or in conjunction with a partner; however, our plans, including trial design, timing and other factors have not yet been finalized.</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brelgometon and other small molecules in our drug product pipeline. We or a future partner may ultimately determine that brelgometon, or any of our other small molecules, does not possess certain properties required for therapeutic effectiveness. We or a future partner may spend substantial funds attempting to develop these drug candidates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development of lasofoxifene or brelgometon may never lead to marketable products.</w:t>
      </w:r>
    </w:p>
    <w:p>
      <w:pPr>
        <w:pStyle w:val="TextBody"/>
        <w:bidi w:val="0"/>
        <w:spacing w:before="120" w:after="283"/>
        <w:jc w:val="both"/>
        <w:rPr>
          <w:rFonts w:ascii="Arial" w:hAnsi="Arial"/>
          <w:color w:val="000000"/>
          <w:sz w:val="20"/>
        </w:rPr>
      </w:pPr>
      <w:r>
        <w:rPr>
          <w:rFonts w:ascii="Arial" w:hAnsi="Arial"/>
          <w:color w:val="000000"/>
          <w:sz w:val="20"/>
        </w:rPr>
        <w:t>We are developing lasofoxifene and brelgometon to address devastating diseases where current treatment options are limited or ineffective. We have not received regulatory approval for any of our product candidates and cannot be certain that our approach will lead to the development of an approvable or marketable product, alone or in combination with other therapies.</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Advancing our product candidates creates significant challenges for us or a future partner,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lasofoxifene or brelgometon is approved, educating medical personnel regarding the potential efficacy and safety benefits, as well as the challenges, of incorporating lasofoxifene or brelgometon into existing treatment regimens, including in combination with other treatments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Arial" w:hAnsi="Arial"/>
          <w:color w:val="000000"/>
          <w:sz w:val="20"/>
        </w:rPr>
      </w:pPr>
      <w:r>
        <w:rPr>
          <w:rFonts w:ascii="Arial" w:hAnsi="Arial"/>
          <w:color w:val="000000"/>
          <w:sz w:val="20"/>
        </w:rPr>
        <w:t xml:space="preserve">Our prospects as a standalone business are highly dependent on the successful development of lasofoxifene and brelgometon.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brelgometon as a potential treatment for ALS and other neurodegenerative diseases. Like fosgonimeton, brelgometon is a small molecule designed to positively modulate the HGF system. Although we are encouraged about the potential for brelgometon based on preclinical data, and about the potential of lasofoxifene based on clinical and preclinical data, we or a future partner may decide to discontinue development of some or all of our product candidates, including if we or a future partner do not demonstrate the safety and efficacy of our product candidates in current and future clinical trials. </w:t>
      </w:r>
    </w:p>
    <w:p>
      <w:pPr>
        <w:pStyle w:val="TextBody"/>
        <w:bidi w:val="0"/>
        <w:spacing w:before="36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lasofoxifene, brelgometon or any other drug candidates we may seek to develop.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Arial" w:hAnsi="Arial"/>
          <w:color w:val="000000"/>
          <w:sz w:val="20"/>
        </w:rPr>
      </w:pPr>
      <w:r>
        <w:rPr>
          <w:rFonts w:ascii="Arial" w:hAnsi="Arial"/>
          <w:color w:val="000000"/>
          <w:sz w:val="20"/>
        </w:rPr>
        <w:t>We have not previously submitted an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360" w:after="283"/>
        <w:jc w:val="both"/>
        <w:rPr>
          <w:rFonts w:ascii="Arial" w:hAnsi="Arial"/>
          <w:b/>
          <w:i/>
          <w:color w:val="000000"/>
          <w:sz w:val="20"/>
        </w:rPr>
      </w:pPr>
      <w:r>
        <w:rPr>
          <w:rFonts w:ascii="Arial" w:hAnsi="Arial"/>
          <w:b/>
          <w:i/>
          <w:color w:val="000000"/>
          <w:sz w:val="20"/>
        </w:rPr>
        <w:t>Treatment of central and peripheral nervous system degenerative disorders is a field that has seen very limited success in product development and our research and development efforts may be unsuccessful.</w:t>
      </w:r>
    </w:p>
    <w:p>
      <w:pPr>
        <w:pStyle w:val="TextBody"/>
        <w:bidi w:val="0"/>
        <w:spacing w:before="120" w:after="283"/>
        <w:jc w:val="both"/>
        <w:rPr>
          <w:rFonts w:ascii="Arial" w:hAnsi="Arial"/>
          <w:color w:val="000000"/>
          <w:sz w:val="20"/>
        </w:rPr>
      </w:pPr>
      <w:r>
        <w:rPr>
          <w:rFonts w:ascii="Arial" w:hAnsi="Arial"/>
          <w:color w:val="000000"/>
          <w:sz w:val="20"/>
        </w:rPr>
        <w:t>Prior to our in-licensing of lasofoxifene, we have focused our research and development efforts on addressing central nervous system, or CNS and PNS degenerative disorders. Collectively, efforts by pharmaceutical companies in the field of CNS and peripheral nervous system, or PNS degenerative disorders have seen very limited successes in product development. The development of CNS therapies presents unique challenges, including an imperfect understanding of the biology, the presence of the blood brain barrier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limited effective therapeutic options available for patients with Alzheimer’s disease,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have no marketed proprietary products and have not yet completed any Phase 3 clinical trials, which makes it difficult to assess our ability to develop our future product candidates and commercialize any resulting products independently.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we have completed Phase 1 and 2/3 clinical trials for product candidates focused on addressing CNS and PNS disorders, we have no previous experience in completing a Phase 3 clinical trial or in completing clinical trials in oncology, and the related regulatory requirements, or the commercialization of any products. We have not yet demonstrated our ability to independently and repeatedly conduct clinical development after Phase 2, obtain regulatory approval, manufacture drug product on a registrational and commercial scale or arrange for a third-party to do so on our behalf, and commercialize therapeutic products. If we do not find a partner to assist with the later stage clinical development and commercialization of our product candidates, we will need to develop such abilities in order to successfully develop and commercialize our product candidates. To develop and commercialize our product candidates independently, we will need to successfully: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reach agreement with multiple regulatory agencies on clinical and pre-clinical studies required for registration;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execute our clinical development and manufacturing plans for later-stage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obtain required regulatory approvals in each jurisdiction in which we will seek to commercialize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build and maintain appropriate pre-commercialization capabilities as well as commercial sales, distribution and marketing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build and implement effective market access strategy and gain market acceptance for our future products, if any;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manage our spending as costs and expenses increase due to clinical trials, regulatory approvals and commercialization activities. </w:t>
      </w:r>
    </w:p>
    <w:p>
      <w:pPr>
        <w:pStyle w:val="TextBody"/>
        <w:bidi w:val="0"/>
        <w:spacing w:before="240" w:after="283"/>
        <w:jc w:val="both"/>
        <w:rPr>
          <w:rFonts w:ascii="Times New Roman" w:hAnsi="Times New Roman"/>
          <w:sz w:val="20"/>
        </w:rPr>
      </w:pPr>
      <w:r>
        <w:rPr>
          <w:rFonts w:ascii="Arial" w:hAnsi="Arial"/>
          <w:color w:val="000000"/>
          <w:sz w:val="20"/>
        </w:rPr>
        <w:t>If we are unsuccessful in accomplishing these objectives, we will not be able to develop and commercialize any future product candidates independently and could fail to realize the potential advantages of doing so.</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rFonts w:ascii="Arial" w:hAnsi="Arial"/>
          <w:color w:val="000000"/>
          <w:sz w:val="20"/>
        </w:rPr>
      </w:pPr>
      <w:r>
        <w:rPr>
          <w:rFonts w:ascii="Arial" w:hAnsi="Arial"/>
          <w:color w:val="000000"/>
          <w:sz w:val="20"/>
        </w:rPr>
        <w:t>We currently have two clinical-stage drug candidates, each for the treatment of different indications. It is impossible to predict when or if any of our drug candidates will prove to be effective and safe in humans or will receive regulatory approval.</w:t>
      </w:r>
    </w:p>
    <w:p>
      <w:pPr>
        <w:pStyle w:val="TextBody"/>
        <w:bidi w:val="0"/>
        <w:spacing w:before="240" w:after="283"/>
        <w:jc w:val="both"/>
        <w:rPr>
          <w:rFonts w:ascii="Arial" w:hAnsi="Arial"/>
          <w:color w:val="000000"/>
          <w:sz w:val="20"/>
        </w:rPr>
      </w:pPr>
      <w:r>
        <w:rPr>
          <w:rFonts w:ascii="Arial" w:hAnsi="Arial"/>
          <w:color w:val="000000"/>
          <w:sz w:val="20"/>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Clinical trials can also be lengthy due to the challenge of identifying patients. Even if patients are successfully identified, they may fail screening criteria and, as a result, not be enrolled in the trial.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 In oncology clinical trials, there is often a need to enroll large numbers of patients, which can be expensive and time-consuming. Failure can occur at any time during the nonclinical study and clinical trial processes, and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we paused further development of our fosgonimeton product candidate after our Phase 2 and Phase 2/3 clinical trials failed to meet their primary endpoints and secondary endpoints. In addition, the protocol for our Phase 3 ELAINE-3 clinical trial for lasofoxifene currently contemplates a pre-specified futility analysis after fifty percent (50%) of expected progression-free survival events per RECIST 1.1 criteria are observed by blinded independent central review, which is currently anticipated to occur sometime after completion of enrollment. While the purpose of this futility analysis will be solely to determine whether or not the trial should continue, and is thus not an assessment of efficacy, there can be no assurance regarding the results of the analysis, how long it will take to reach the number of events needed for the pre-specified futility analysis, or whether the clinical trial will continue.</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candidates for use in nonclinical studies or clinical trials from third-party suppliers.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our drug candidates are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strategies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integrating</w:t>
      </w:r>
      <w:r>
        <w:rPr>
          <w:rFonts w:ascii="Times New Roman" w:hAnsi="Times New Roman"/>
          <w:color w:val="000000"/>
          <w:sz w:val="20"/>
        </w:rPr>
        <w:t xml:space="preserve"> </w:t>
      </w:r>
      <w:r>
        <w:rPr>
          <w:rFonts w:ascii="Arial" w:hAnsi="Arial"/>
          <w:b/>
          <w:i/>
          <w:color w:val="000000"/>
          <w:sz w:val="20"/>
        </w:rPr>
        <w:t>lasofoxifene into our pipeline of product candidates.</w:t>
      </w:r>
    </w:p>
    <w:p>
      <w:pPr>
        <w:pStyle w:val="TextBody"/>
        <w:bidi w:val="0"/>
        <w:spacing w:before="120" w:after="283"/>
        <w:jc w:val="both"/>
        <w:rPr>
          <w:rFonts w:ascii="Times New Roman" w:hAnsi="Times New Roman"/>
          <w:sz w:val="20"/>
        </w:rPr>
      </w:pPr>
      <w:r>
        <w:rPr>
          <w:rFonts w:ascii="Arial" w:hAnsi="Arial"/>
          <w:color w:val="000000"/>
          <w:sz w:val="20"/>
        </w:rPr>
        <w:t>In December 2025, we entered into agreements with Sermonix Pharmaceuticals, Inc. and Ligand Pharmaceuticals Incorporated granting us exclusive licenses and rights to develop, manufacture and commercialize oral forms of the SERM known as lasofoxifene in all countries and territories of the world except for Asia and certain countries in the Middle East.</w:t>
      </w:r>
      <w:r>
        <w:rPr>
          <w:rFonts w:ascii="Times New Roman" w:hAnsi="Times New Roman"/>
          <w:color w:val="212529"/>
          <w:sz w:val="20"/>
        </w:rPr>
        <w:t xml:space="preserve"> </w:t>
      </w:r>
      <w:r>
        <w:rPr>
          <w:rFonts w:ascii="Arial" w:hAnsi="Arial"/>
          <w:color w:val="212529"/>
          <w:sz w:val="20"/>
        </w:rPr>
        <w:t>The development and any potential partnering or independent commercialization of this product candidate will require substantial additional cash to fund the costs associated with conducting the necessary preclinical and clinical testing and obtaining regulatory approval. In addition, the integration of lasofoxifene may also require more time or greater cash resources than we anticipate and expose us to other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near-term and long-term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exposure to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higher than expected acquisition, disposition or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incurrence of substantial debt or dilutive issuances of equity securities to fund future operations;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write-downs of assets or incurrence of non-recurring, impairment or other charges;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difficulty and cost in integrating the development of lasofoxifene into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impairment of relationships with key suppliers or service providers involved in the historical development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inability to hire for key areas of need or retain our employees that are necessary for the development of our product candidates and management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possibility of future litigation.</w:t>
      </w:r>
    </w:p>
    <w:p>
      <w:pPr>
        <w:pStyle w:val="TextBody"/>
        <w:bidi w:val="0"/>
        <w:spacing w:before="240" w:after="283"/>
        <w:jc w:val="both"/>
        <w:rPr>
          <w:rFonts w:ascii="Times New Roman" w:hAnsi="Times New Roman"/>
          <w:sz w:val="20"/>
        </w:rPr>
      </w:pPr>
      <w:r>
        <w:rPr>
          <w:rFonts w:ascii="Arial" w:hAnsi="Arial"/>
          <w:color w:val="212529"/>
          <w:sz w:val="20"/>
        </w:rPr>
        <w:t>If any of the foregoing risks materialize it could have a material adverse effect on our business, financial condition and prospects.</w:t>
      </w:r>
      <w:r>
        <w:rPr>
          <w:rFonts w:ascii="Times New Roman" w:hAnsi="Times New Roman"/>
          <w:color w:val="212529"/>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rFonts w:ascii="Arial" w:hAnsi="Arial"/>
          <w:color w:val="000000"/>
          <w:sz w:val="20"/>
        </w:rPr>
      </w:pPr>
      <w:r>
        <w:rPr>
          <w:rFonts w:ascii="Arial" w:hAnsi="Arial"/>
          <w:color w:val="000000"/>
          <w:sz w:val="20"/>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In addition, pursuant to the terms of our December 2025 private placement we are obligated to use the proceeds from the financing for working capital and not for certain other uses, including (1) the repayment of borrowed debt, (2) to redeem any common stock or any of our securities that would entitle the holder thereof to acquire at any time common stock, subject to certain exceptions, (3) for the settlement of any litigation that is outstanding as of the date of the closing of the private placement, and (4) to in-license or develop a drug candidate other than lasofoxifene or any drug or drug candidate in our pipeline as of the date of the closing of the private placement, until the earlier of such time as the topline results of ELAINE-3 become available and the second anniversary of the effective date of the PIPE Securities Purchase Agreement. As a result, we may be unable to acquire or in-license other promising drug candidates and technologies or engage in other strategic transactions that may be advantageous.</w:t>
      </w:r>
    </w:p>
    <w:p>
      <w:pPr>
        <w:pStyle w:val="TextBody"/>
        <w:bidi w:val="0"/>
        <w:spacing w:before="240" w:after="283"/>
        <w:jc w:val="both"/>
        <w:rPr>
          <w:rFonts w:ascii="Arial" w:hAnsi="Arial"/>
          <w:color w:val="000000"/>
          <w:sz w:val="20"/>
        </w:rPr>
      </w:pPr>
      <w:r>
        <w:rPr>
          <w:rFonts w:ascii="Arial" w:hAnsi="Arial"/>
          <w:color w:val="000000"/>
          <w:sz w:val="20"/>
        </w:rPr>
        <w:t>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pStyle w:val="TextBody"/>
        <w:bidi w:val="0"/>
        <w:spacing w:before="360" w:after="283"/>
        <w:jc w:val="both"/>
        <w:rPr>
          <w:rFonts w:ascii="Arial" w:hAnsi="Arial"/>
          <w:b/>
          <w:i/>
          <w:color w:val="000000"/>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p>
    <w:p>
      <w:pPr>
        <w:pStyle w:val="TextBody"/>
        <w:bidi w:val="0"/>
        <w:spacing w:before="120" w:after="283"/>
        <w:jc w:val="both"/>
        <w:rPr>
          <w:rFonts w:ascii="Arial" w:hAnsi="Arial"/>
          <w:color w:val="000000"/>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360" w:after="283"/>
        <w:jc w:val="both"/>
        <w:rPr>
          <w:rFonts w:ascii="Arial" w:hAnsi="Arial"/>
          <w:b/>
          <w:i/>
          <w:color w:val="000000"/>
          <w:sz w:val="20"/>
        </w:rPr>
      </w:pPr>
      <w:r>
        <w:rPr>
          <w:rFonts w:ascii="Arial" w:hAnsi="Arial"/>
          <w:b/>
          <w:i/>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Arial" w:hAnsi="Arial"/>
          <w:color w:val="000000"/>
          <w:sz w:val="20"/>
        </w:rPr>
      </w:pPr>
      <w:r>
        <w:rPr>
          <w:rFonts w:ascii="Arial" w:hAnsi="Arial"/>
          <w:color w:val="000000"/>
          <w:sz w:val="20"/>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both"/>
        <w:rPr>
          <w:rFonts w:ascii="Arial" w:hAnsi="Arial"/>
          <w:color w:val="000000"/>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36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pStyle w:val="TextBody"/>
        <w:bidi w:val="0"/>
        <w:spacing w:before="240" w:after="283"/>
        <w:jc w:val="both"/>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36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projected timeline for announcing our topline data for lasofoxifene, brelgometon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clinical trials or third-party clinical trials for similar indications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timely completion of our clinical trials in accordance with their protocols and applicable requirements depends, among other things, on our ability to enroll a sufficient number of participants who remain in the study until its conclusion. 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timelines for lasofoxifene, brelgometon,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Specifically, there are a large number of companies developing or marketing treatments for cancer, including many major pharmaceutical and biotechnology companies.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Arial" w:hAnsi="Arial"/>
          <w:color w:val="000000"/>
          <w:sz w:val="20"/>
        </w:rPr>
      </w:pPr>
      <w:r>
        <w:rPr>
          <w:rFonts w:ascii="Arial" w:hAnsi="Arial"/>
          <w:color w:val="000000"/>
          <w:sz w:val="20"/>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subsection titled “Competition” under the section titled “Business” in our Annual Report on Form 10-K filed with the SEC on March 31, 2026.</w:t>
      </w:r>
    </w:p>
    <w:p>
      <w:pPr>
        <w:pStyle w:val="TextBody"/>
        <w:bidi w:val="0"/>
        <w:spacing w:before="360" w:after="283"/>
        <w:jc w:val="both"/>
        <w:rPr>
          <w:rFonts w:ascii="Times New Roman" w:hAnsi="Times New Roman"/>
          <w:sz w:val="20"/>
        </w:rPr>
      </w:pPr>
      <w:r>
        <w:rPr>
          <w:rFonts w:ascii="Arial" w:hAnsi="Arial"/>
          <w:b/>
          <w:i/>
          <w:color w:val="000000"/>
          <w:sz w:val="20"/>
        </w:rPr>
        <w:t>We are developing lasofoxifene in combination with abemaciclib, and we may in the future develop other drug candidates in combination with other therapies, which could expose us to additional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currently developing lasofoxifene as a 2L/3L+ therapy in combination with abemaciclib (CDK4/6i) after progression on endocrine therapy + CDK4/6i. We aim to demonstrate that lasofoxifene provides compelling combination efficacy while offering quality-of-life advantages unmatched by current endocrine therapies. If successful, we may evaluate lasofoxifene in earlier-line use and in combination with other targeted therapies such as mTOR or PI3K pathway inhibitors. We may develop other drug candidates in combination with one or more other approved or unapproved therapies. Even if lasofoxifene or any other drug candidate we develop were to receive marketing approval or be commercialized for use in combination with other marketed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marketed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to support the use of our product candidates with other approved therapies. The occurrence of any of these risks could have a material adverse effect on the approval of our candidates for use with different combination therapies and the commercial success of our approved drug products.</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candidates we develop, we may be unable to obtain approval of or market such combination therapy.</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We may not realize all the anticipated benefits of our corporate rebranding and it may result in unanticipated disruptions to our on-going business.</w:t>
      </w:r>
    </w:p>
    <w:p>
      <w:pPr>
        <w:pStyle w:val="TextBody"/>
        <w:bidi w:val="0"/>
        <w:spacing w:before="120" w:after="283"/>
        <w:jc w:val="both"/>
        <w:rPr>
          <w:rFonts w:ascii="Arial" w:hAnsi="Arial"/>
          <w:color w:val="000000"/>
          <w:sz w:val="20"/>
        </w:rPr>
      </w:pPr>
      <w:r>
        <w:rPr>
          <w:rFonts w:ascii="Arial" w:hAnsi="Arial"/>
          <w:color w:val="000000"/>
          <w:sz w:val="20"/>
        </w:rPr>
        <w:t>In order to reflect our strategic shift to focus on developing lasofoxifene, in addition to brelgometon, in January 2026 we changed our name and ticker symbol on The Nasdaq Stock Market and re-branded our business (the “Corporate Rebrand”). We may face unanticipated disruptions to our business arising from the Corporate Rebrand, and it may expose us to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Disruptions or unanticipated delays accessing certain markets or segments due to delays or other issues with regulatory approvals, clinical trials, or other updates arising from or related to the Corporate Rebrand;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risks associated with the adoption of a new corporate identity and trade dress;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goodwill and brand equity associated with our legacy brand that will become less prominent over time.</w:t>
      </w:r>
    </w:p>
    <w:p>
      <w:pPr>
        <w:pStyle w:val="TextBody"/>
        <w:bidi w:val="0"/>
        <w:spacing w:before="240" w:after="283"/>
        <w:jc w:val="both"/>
        <w:rPr>
          <w:rFonts w:ascii="Arial" w:hAnsi="Arial"/>
          <w:color w:val="000000"/>
          <w:sz w:val="20"/>
        </w:rPr>
      </w:pPr>
      <w:r>
        <w:rPr>
          <w:rFonts w:ascii="Arial" w:hAnsi="Arial"/>
          <w:color w:val="000000"/>
          <w:sz w:val="20"/>
        </w:rPr>
        <w:t>The Corporate Rebrand has involved and is expected to continue to involve a significant financial and resource investment as we complete this transition. The anticipated benefits of the Corporate Rebrand may not be achieved within the anticipated timeframe, without additional near or long-term investment, or at all. Any of these factors could negatively impact our brand and reputation, decrease or delay the expected accretive effect of the Corporate Rebrand, and negatively impact the price of our common stock.</w:t>
      </w:r>
    </w:p>
    <w:p>
      <w:pPr>
        <w:pStyle w:val="Heading1"/>
        <w:bidi w:val="0"/>
        <w:spacing w:before="360" w:after="283"/>
        <w:jc w:val="left"/>
        <w:rPr>
          <w:rFonts w:ascii="Arial" w:hAnsi="Arial"/>
          <w:color w:val="000000"/>
          <w:sz w:val="20"/>
        </w:rPr>
      </w:pPr>
      <w:r>
        <w:rPr>
          <w:rFonts w:ascii="Arial" w:hAnsi="Arial"/>
          <w:color w:val="000000"/>
          <w:sz w:val="20"/>
        </w:rPr>
        <w:t>Risks Related to Our Financial Position and Capital Needs</w:t>
      </w:r>
    </w:p>
    <w:p>
      <w:pPr>
        <w:pStyle w:val="TextBody"/>
        <w:bidi w:val="0"/>
        <w:spacing w:before="120" w:after="283"/>
        <w:jc w:val="both"/>
        <w:rPr>
          <w:rFonts w:ascii="Times New Roman" w:hAnsi="Times New Roman"/>
          <w:sz w:val="20"/>
        </w:rPr>
      </w:pPr>
      <w:r>
        <w:rPr>
          <w:rFonts w:ascii="Arial" w:hAnsi="Arial"/>
          <w:b/>
          <w:i/>
          <w:color w:val="000000"/>
          <w:sz w:val="20"/>
        </w:rPr>
        <w:t>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lasofoxifene and brelgometon. Developing lasofoxifene and brelgometon and conducting clinical trials for the potential treatment of breast cancer and ALS,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 sales, marketing, manufacturing, and distribution. Furthermore, we expect to continue to incur additional costs associated with operating as a public company</w:t>
      </w:r>
      <w:r>
        <w:rPr>
          <w:rFonts w:ascii="Arial" w:hAnsi="Arial"/>
          <w:color w:val="212529"/>
          <w:sz w:val="20"/>
        </w:rPr>
        <w:t>.</w:t>
      </w:r>
      <w:r>
        <w:rPr>
          <w:rFonts w:ascii="Times New Roman" w:hAnsi="Times New Roman"/>
          <w:color w:val="212529"/>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Accordingly, we will need to obtain substantial additional funding in connection with our continuing operations. As of June 30, 2026, we had cash, cash equivalents and investments of $51.1 million. Based upon our current operating plan, we estimate that our existing cash, cash equivalents and investments may not be sufficient to fund our operating expenses and capital expenditure requirements through at least the next 12 months. On December 18, 2025, we entered into a securities purchase agreement with certain institutional investors pursuant to which we issued and sold, by way of a private placement, shares of common stock and pre-funded warrants to purchase common stock, which, provided us with approximately $90 million in gross proceeds, excluding placement agent fees and offering expenses. We are obligated to use such proceeds for working capital and not for (1) the repayment of borrowed debt, (2) to redeem any common stock or any of our securities that would entitle the holder thereof to acquire at any time common stock, subject to certain exceptions, (3) for the settlement of any litigation that is outstanding as of the date of the closing of the private placement, and (4) to in-license or develop a drug candidate other than lasofoxifene or any drug or drug candidate in our pipeline as of the date of the closing of the private placement, until the earlier of such time as the topline results of ELAINE-3 become available and the second anniversary of the effective date of the PIPE Securities Purchase Agreement. As a result, we may be unable to acquire or in-license other promising drug candidates and technologies or engage in other strategic transactions that may be advantageous.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expect to use the proceeds from our December 2025 private placement to fund the clinical development of our product candidates, we will need to raise substantial additional capital to advance these product candidates through later-stage clinical development, partnering or independent commercialization. If we raise additional funds by issuing equity securities, our stockholders will suffer additional dilution, and the terms of any financing may adversely affect the rights of our stockholders.</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clinical trials, including for potential additional indications that we may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EMA and any other regulatory agencies to accept lasofoxifene or brelgometon or clinical trial data, as well as data from any completed and planned clinical and nonclinical studies and other work, as the basis for review and approval of lasofoxifene for breast cancer and brelgometon for ALS and the potential need for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costs and timing of seeking and obtaining FDA, EMA and any other regulatory approvals, including ongoing management of regulatory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and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quality,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Arial" w:hAnsi="Arial"/>
          <w:color w:val="000000"/>
          <w:sz w:val="20"/>
        </w:rPr>
      </w:pPr>
      <w:r>
        <w:rPr>
          <w:rFonts w:ascii="Arial" w:hAnsi="Arial"/>
          <w:color w:val="000000"/>
          <w:sz w:val="20"/>
        </w:rPr>
        <w:t>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pStyle w:val="TextBody"/>
        <w:bidi w:val="0"/>
        <w:spacing w:before="240" w:after="283"/>
        <w:jc w:val="both"/>
        <w:rPr>
          <w:rFonts w:ascii="Times New Roman" w:hAnsi="Times New Roman"/>
          <w:sz w:val="20"/>
        </w:rPr>
      </w:pPr>
      <w:r>
        <w:rPr>
          <w:rFonts w:ascii="Arial" w:hAnsi="Arial"/>
          <w:color w:val="000000"/>
          <w:sz w:val="20"/>
        </w:rPr>
        <w:t xml:space="preserve">In addition, in January 2023, we entered into a sales agreement with Cantor Fitzgerald and Co. (“Cantor Fitzgerald”) and BTIG, LLC (“BTIG”) to sell shares of our common stock having aggregate sales proceeds of up to $75.0 million, from time to time, subject to any applicable limitations on sales pursuant to SEC rules and regulations, through an at-the-market (“ATM”) equity offering program under which Cantor Fitzgerald and BTIG are acting as sales agents, however, we are currently unable to offer and sell shares under this facility due to our ineligibility to use a Registration Statement on Form S-3 through December 2026.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recent inflationary economic environment, health epidemics and global conflicts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have an existing ATM equity offering program, however, as described below, we are currently unable to raise capital through our ATM equity offering program due to our loss of Form S-3 eligibility.</w:t>
      </w:r>
    </w:p>
    <w:p>
      <w:pPr>
        <w:pStyle w:val="TextBody"/>
        <w:bidi w:val="0"/>
        <w:spacing w:before="360" w:after="283"/>
        <w:jc w:val="both"/>
        <w:rPr>
          <w:rFonts w:ascii="Arial" w:hAnsi="Arial"/>
          <w:b/>
          <w:i/>
          <w:color w:val="000000"/>
          <w:sz w:val="20"/>
        </w:rPr>
      </w:pPr>
      <w:r>
        <w:rPr>
          <w:rFonts w:ascii="Arial" w:hAnsi="Arial"/>
          <w:b/>
          <w:i/>
          <w:color w:val="000000"/>
          <w:sz w:val="20"/>
        </w:rPr>
        <w:t>As a result of our failure to timely file a Current Report on Form 8-K, we are currently ineligible to file or use registration statements on Form S-3, which may impair our ability to raise capital on terms favorable to us, in a timely manner or at all.</w:t>
      </w:r>
    </w:p>
    <w:p>
      <w:pPr>
        <w:pStyle w:val="TextBody"/>
        <w:bidi w:val="0"/>
        <w:spacing w:before="120" w:after="283"/>
        <w:jc w:val="both"/>
        <w:rPr>
          <w:rFonts w:ascii="Times New Roman" w:hAnsi="Times New Roman"/>
          <w:sz w:val="20"/>
        </w:rPr>
      </w:pPr>
      <w:r>
        <w:rPr>
          <w:rFonts w:ascii="Arial" w:hAnsi="Arial"/>
          <w:color w:val="000000"/>
          <w:sz w:val="20"/>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result of our failure to timely file a Current Report on Form 8-K, we are currently ineligible to use a Registration Statement on Form S-3 through December 2026. Our inability to use Form S-3 may significantly impair our ability to raise capital expeditiously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Disclosing a public offering prior to the formal commencement of an offering may result in downward pressure on our stock price.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Our ability to register securities for resale may also be limited as a result of the loss of Form S-3 eligibility. The foregoing limitations on our financing approaches could prevent us from pursuing transactions or implementing business strategies that would be beneficial to our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become obligated to pay liquidated damages if we fail to maintain effectiveness of registration statements in accordance with the terms of registration rights agreements related to our December 2025 private placement and Sermonix Pre-Funded Warrant issuance.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connection with our December 2025 private placement and Sermonix Pre-Funded Warrant issuance, we granted to the purchasers of securities in the private placement and to Sermonix, respectively, certain resale registration rights pursuant to registration rights agreements with such parties. In connection with such registration rights, the purchasers and Sermonix may be entitled to receive liquidated damages upon the occurrence, or failure to occur, of a number of events relating to the filing, effectiveness and maintenance of effectiveness of a registration statement related to the securities issued in the December 2025 private placement and the Sermonix Pre-Funded Warrant, respectively. The liquidated damages will be payable upon the occurrence, or failure to occur, of each of those events and each monthly anniversary thereof until cured. The amount of liquidated damages payable per monthly period would be equal to 1% of the aggregate purchase price paid by the purchasers. While the registration statements became effective in April 2026, we may be unsuccessful in maintaining effectiveness of the resale registration statements in the future and, as a result, would incur liquidated damages until we regain compliance with our obligations under the registration rights agreements.</w:t>
      </w:r>
    </w:p>
    <w:p>
      <w:pPr>
        <w:pStyle w:val="TextBody"/>
        <w:bidi w:val="0"/>
        <w:spacing w:before="36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$52.0 million and $16.1 million for the six months ended June 30, 2026 and 2025</w:t>
      </w:r>
      <w:r>
        <w:rPr>
          <w:rFonts w:ascii="Arial" w:hAnsi="Arial"/>
          <w:color w:val="212529"/>
          <w:sz w:val="20"/>
        </w:rPr>
        <w:t>, respectively, and an accumulated deficit of $563.7 million as of June 30, 2026.</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operating losses for the foreseeable future, including as a result of the following actions that we may take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 including with respect to our license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expenses in connection with potential future legal proceedings, and addressing potential stockholder activism.</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experience any delays or encounter issues with any of the above, are required by the FDA, the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36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120" w:after="283"/>
        <w:jc w:val="both"/>
        <w:rPr>
          <w:rFonts w:ascii="Arial" w:hAnsi="Arial"/>
          <w:color w:val="000000"/>
          <w:sz w:val="20"/>
        </w:rPr>
      </w:pPr>
      <w:r>
        <w:rPr>
          <w:rFonts w:ascii="Arial" w:hAnsi="Arial"/>
          <w:color w:val="000000"/>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000000"/>
          <w:sz w:val="20"/>
        </w:rPr>
      </w:pPr>
      <w:r>
        <w:rPr>
          <w:rFonts w:ascii="Arial" w:hAnsi="Arial"/>
          <w:color w:val="000000"/>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Our ability to use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of December 31, 2025, we had federal net operating loss carryforwards (“NOLs”) to offset future taxable income of approximately $9.5 million and federal tax credit carryforwards of approximately $17.2 million, which expire over a period of 6 to 12 years. Federal NOLs of $259.8 million generated after the 2017 tax year will carry forward indefinitely and will be subject to the 80% of taxable income limitation. As of December 31, 2025, we also had state NOLs of $5 million, which expire over a period of 17 to 20 years. A lack of future taxable income would adversely affect our ability to utilize these NOLs.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under Section 382 of the Internal Revenue Code of 1986, as amended(“the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pStyle w:val="TextBody"/>
        <w:bidi w:val="0"/>
        <w:spacing w:before="240" w:after="283"/>
        <w:jc w:val="both"/>
        <w:rPr>
          <w:rFonts w:ascii="Arial" w:hAnsi="Arial"/>
          <w:color w:val="000000"/>
          <w:sz w:val="20"/>
        </w:rPr>
      </w:pPr>
      <w:r>
        <w:rPr>
          <w:rFonts w:ascii="Arial" w:hAnsi="Arial"/>
          <w:color w:val="000000"/>
          <w:sz w:val="20"/>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utilization of state NOLs may also be limited under similar provisions of state law. We have recorded a full valuation allowance related to our NOLs and other deferred tax assets due to the uncertainty of the ultimate realization of the future benefits of those assets.</w:t>
      </w:r>
    </w:p>
    <w:p>
      <w:pPr>
        <w:pStyle w:val="TextBody"/>
        <w:bidi w:val="0"/>
        <w:spacing w:before="360" w:after="283"/>
        <w:jc w:val="both"/>
        <w:rPr>
          <w:rFonts w:ascii="Arial" w:hAnsi="Arial"/>
          <w:b/>
          <w:i/>
          <w:color w:val="000000"/>
          <w:sz w:val="20"/>
        </w:rPr>
      </w:pPr>
      <w:r>
        <w:rPr>
          <w:rFonts w:ascii="Arial" w:hAnsi="Arial"/>
          <w:b/>
          <w:i/>
          <w:color w:val="000000"/>
          <w:sz w:val="20"/>
        </w:rPr>
        <w:t>Changes in tax laws could have a material adverse effect on our business, cash flows, results of operations or financial condition.</w:t>
      </w:r>
    </w:p>
    <w:p>
      <w:pPr>
        <w:pStyle w:val="TextBody"/>
        <w:bidi w:val="0"/>
        <w:spacing w:before="120" w:after="283"/>
        <w:jc w:val="both"/>
        <w:rPr>
          <w:rFonts w:ascii="Arial" w:hAnsi="Arial"/>
          <w:color w:val="000000"/>
          <w:sz w:val="20"/>
        </w:rPr>
      </w:pPr>
      <w:r>
        <w:rPr>
          <w:rFonts w:ascii="Arial" w:hAnsi="Arial"/>
          <w:color w:val="000000"/>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The One Big Beautiful Bill Act (“OBBB”), enacted on July 4, 2025, revised these rules, permitting the deduction of certain U.S. research and development expenditures incurred in tax years beginning on or after January 1, 2025, but expenditures attributable to research and development conducted outside the U.S. must continue to be capitalized and amortized over a 15-year period. We do not anticipate a material impact on the Company resulting from the other provisions of OBBB, however, we continue to evaluate the full impact of OBBB on the Company.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Heading1"/>
        <w:bidi w:val="0"/>
        <w:spacing w:before="360" w:after="283"/>
        <w:jc w:val="left"/>
        <w:rPr>
          <w:rFonts w:ascii="Arial" w:hAnsi="Arial"/>
          <w:color w:val="000000"/>
          <w:sz w:val="20"/>
        </w:rPr>
      </w:pPr>
      <w:r>
        <w:rPr>
          <w:rFonts w:ascii="Arial" w:hAnsi="Arial"/>
          <w:color w:val="000000"/>
          <w:sz w:val="20"/>
        </w:rPr>
        <w:t>Risks Related to Regulatory Approval and Other Legal Compliance Matters</w:t>
      </w:r>
    </w:p>
    <w:p>
      <w:pPr>
        <w:pStyle w:val="TextBody"/>
        <w:bidi w:val="0"/>
        <w:spacing w:before="12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Further, under the current administration, changes in the agency leadership and staff departures government shutdown, lapse of U.S. government appropriations, and layoffs may impact the normal operations at the FDA as well as other federal agencies. FDA may lack adequate staff and resources to meet current review, approval, and inspection schedules, which could delay our anticipated timelines. In January 2025, the White House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biological materials, genetic data, and other sensitive data of American patients to parties located in China. Further, FDA's “real-time</w:t>
      </w:r>
      <w:r>
        <w:rPr>
          <w:rFonts w:ascii="Times New Roman" w:hAnsi="Times New Roman"/>
          <w:color w:val="212529"/>
          <w:sz w:val="20"/>
        </w:rPr>
        <w:t>”</w:t>
      </w:r>
      <w:r>
        <w:rPr>
          <w:rFonts w:ascii="Times New Roman" w:hAnsi="Times New Roman"/>
          <w:color w:val="000000"/>
          <w:sz w:val="20"/>
        </w:rPr>
        <w:t xml:space="preserve"> </w:t>
      </w:r>
      <w:r>
        <w:rPr>
          <w:rFonts w:ascii="Arial" w:hAnsi="Arial"/>
          <w:color w:val="000000"/>
          <w:sz w:val="20"/>
        </w:rPr>
        <w:t>release of newly issued Complete Response Letters associated with withdrawn or abandoned applications, if applicable to any of our product candidates, can materially impact our competitive advantage and intellectual property. There is significant uncertainty in the industry and how federal agencies like the FDA will change in the coming years under the current administration. It is unclear how our industry and our clinical programs will be impacted by policies and regulations implemented under the current administration or other executive orders. To the extent agency changes and government shutdown lead to disruptions in FDA’s operations, including changes in funding for certain programs at the FDA, correspondence and regulatory review processes with the FDA may be materially delayed.</w:t>
      </w:r>
    </w:p>
    <w:p>
      <w:pPr>
        <w:pStyle w:val="TextBody"/>
        <w:bidi w:val="0"/>
        <w:spacing w:before="36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Arial" w:hAnsi="Arial"/>
          <w:color w:val="000000"/>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pStyle w:val="TextBody"/>
        <w:bidi w:val="0"/>
        <w:spacing w:before="240" w:after="283"/>
        <w:jc w:val="both"/>
        <w:rPr>
          <w:rFonts w:ascii="Arial" w:hAnsi="Arial"/>
          <w:color w:val="000000"/>
          <w:sz w:val="20"/>
        </w:rPr>
      </w:pPr>
      <w:r>
        <w:rPr>
          <w:rFonts w:ascii="Arial" w:hAnsi="Arial"/>
          <w:color w:val="000000"/>
          <w:sz w:val="20"/>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36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good laboratory practice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current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changes in the administration, changes in the agency leadership, agency reorganization, mass layoffs, budget cuts, lapse in government appropriations, and other initiatives implemented by the Department of Government Efficiency, changes in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executive orders and other policies promulgated by the administration, travel restrictions, public health or geopolitical issues, staffing shortages or layoffs, government shutdown,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candidates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 (“OIG”) raised concerns with FDA’s accelerated approval of three of the 24 drugs review by OIG. It is unclear how this OIG report, future policy changes, changes in the leadership of FDA, and new FDA regulations, including those that may be implemented under the current administration, will impact NDAs and our clinical development programs.</w:t>
      </w:r>
    </w:p>
    <w:p>
      <w:pPr>
        <w:pStyle w:val="TextBody"/>
        <w:bidi w:val="0"/>
        <w:spacing w:before="36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Arial" w:hAnsi="Arial"/>
          <w:color w:val="000000"/>
          <w:sz w:val="20"/>
        </w:rPr>
      </w:pPr>
      <w:r>
        <w:rPr>
          <w:rFonts w:ascii="Arial" w:hAnsi="Arial"/>
          <w:color w:val="000000"/>
          <w:sz w:val="20"/>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current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MFP for the Medicare Drug Price Negotiation Program for 2028.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any future healthcare measures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Arial" w:hAnsi="Arial"/>
          <w:color w:val="000000"/>
          <w:sz w:val="20"/>
        </w:rPr>
      </w:pPr>
      <w:r>
        <w:rPr>
          <w:rFonts w:ascii="Arial" w:hAnsi="Arial"/>
          <w:color w:val="000000"/>
          <w:sz w:val="20"/>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color w:val="000000"/>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36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36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36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360" w:after="283"/>
        <w:jc w:val="both"/>
        <w:rPr>
          <w:rFonts w:ascii="Times New Roman" w:hAnsi="Times New Roman"/>
          <w:sz w:val="20"/>
        </w:rPr>
      </w:pPr>
      <w:r>
        <w:rPr>
          <w:rFonts w:ascii="Arial" w:hAnsi="Arial"/>
          <w:b/>
          <w:i/>
          <w:color w:val="000000"/>
          <w:sz w:val="20"/>
        </w:rPr>
        <w:t>Failure to comply with anti-bribery and anti-corruption laws and anti-money laundering laws,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subject to the U.S. Foreign Corrupt Practices Act of 1977 (the “FCPA”), the U.S. domestic bribery statute contained in 18 U.S.C. § 201, the United Kingdom Bribery Act 2010, and possibly other anti-bribery and anti-corruption laws and anti-money laundering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240" w:after="283"/>
        <w:jc w:val="both"/>
        <w:rPr>
          <w:rFonts w:ascii="Arial" w:hAnsi="Arial"/>
          <w:color w:val="000000"/>
          <w:sz w:val="20"/>
        </w:rPr>
      </w:pPr>
      <w:r>
        <w:rPr>
          <w:rFonts w:ascii="Arial" w:hAnsi="Arial"/>
          <w:color w:val="000000"/>
          <w:sz w:val="20"/>
        </w:rPr>
        <w:t>We have interactions with officials and employees of government agencies or government-affiliated hospitals, universities, and other organizations. We expect to leverage third parties to sell our products, assist with clinical trials, assist with obtaining necessary permits, licenses, patent registrations and other regulatory approvals and otherwise conduct our business abroad. We, our employees, agents, representatives, business partners and third-party intermediaries may have direct or indirect interactions with officials and employees of government agencies, government-affiliated hospitals, universities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business or commence international sales, our risks under these laws may increase.</w:t>
      </w:r>
    </w:p>
    <w:p>
      <w:pPr>
        <w:pStyle w:val="TextBody"/>
        <w:bidi w:val="0"/>
        <w:spacing w:before="240" w:after="283"/>
        <w:jc w:val="both"/>
        <w:rPr>
          <w:rFonts w:ascii="Times New Roman" w:hAnsi="Times New Roman"/>
          <w:sz w:val="20"/>
        </w:rPr>
      </w:pPr>
      <w:r>
        <w:rPr>
          <w:rFonts w:ascii="Arial" w:hAnsi="Arial"/>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Any allegations or violation of the FCPA or other applicable anti-bribery and anti-corruption laws and anti-money laundering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pStyle w:val="TextBody"/>
        <w:bidi w:val="0"/>
        <w:spacing w:before="360" w:after="283"/>
        <w:jc w:val="both"/>
        <w:rPr>
          <w:rFonts w:ascii="Arial" w:hAnsi="Arial"/>
          <w:b/>
          <w:i/>
          <w:color w:val="000000"/>
          <w:sz w:val="20"/>
        </w:rPr>
      </w:pPr>
      <w:r>
        <w:rPr>
          <w:rFonts w:ascii="Arial" w:hAnsi="Arial"/>
          <w:b/>
          <w:i/>
          <w:color w:val="000000"/>
          <w:sz w:val="20"/>
        </w:rPr>
        <w:t>We are subject to U.S. and certain foreign export and import controls, sanctions, embargoes, data export, and foreign investment laws and regulations. Compliance with these legal standards could impair our ability to compete in domestic and international markets. We can face criminal and/or civil liability and other serious consequences for violations, which can harm our business.</w:t>
      </w:r>
    </w:p>
    <w:p>
      <w:pPr>
        <w:pStyle w:val="TextBody"/>
        <w:bidi w:val="0"/>
        <w:spacing w:before="120" w:after="283"/>
        <w:jc w:val="both"/>
        <w:rPr>
          <w:rFonts w:ascii="Arial" w:hAnsi="Arial"/>
          <w:color w:val="000000"/>
          <w:sz w:val="20"/>
        </w:rPr>
      </w:pPr>
      <w:r>
        <w:rPr>
          <w:rFonts w:ascii="Arial" w:hAnsi="Arial"/>
          <w:color w:val="000000"/>
          <w:sz w:val="20"/>
        </w:rPr>
        <w:t>Our product candidates, as well as any related technology, may be subject to export control and import laws and regulations, including the Export Administration Regulations administered by the U.S. Department of Commerce, Bureau of Industry and Security (“BIS”), customs regulations administered by U.S. Customs and Border Protection, and various economic and trade sanctions regulations administered by the U.S. Treasury Department’s Office of Foreign Assets Control. We may also be subject to other state and national import, sanctions, export control, and foreign investment laws in countries in which we conduct activities.</w:t>
      </w:r>
    </w:p>
    <w:p>
      <w:pPr>
        <w:pStyle w:val="TextBody"/>
        <w:bidi w:val="0"/>
        <w:spacing w:before="240" w:after="283"/>
        <w:jc w:val="both"/>
        <w:rPr>
          <w:rFonts w:ascii="Times New Roman" w:hAnsi="Times New Roman"/>
          <w:sz w:val="20"/>
        </w:rPr>
      </w:pPr>
      <w:r>
        <w:rPr>
          <w:rFonts w:ascii="Arial" w:hAnsi="Arial"/>
          <w:color w:val="000000"/>
          <w:sz w:val="20"/>
        </w:rPr>
        <w:t>As such, licenses or notices may be required to import products, technologies, and services from, or export, re-export, or transfer (in-country) products, technologies, and services to, certain countries, end users, or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The process for obtaining necessary licenses and making required notices may be time-consuming or unsuccessful, potentially causing delays in sales or losses of sales opportunities. Trade controls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and significant defense costs and other professional fees. We expect our non-U.S. activities to increase in time, and plans to engage counterparties engaged in international business activities could increase our exposure to these laws and regulations, even if we have limited control over the activities of these counterparties.</w:t>
      </w:r>
    </w:p>
    <w:p>
      <w:pPr>
        <w:pStyle w:val="TextBody"/>
        <w:bidi w:val="0"/>
        <w:spacing w:before="240" w:after="283"/>
        <w:jc w:val="both"/>
        <w:rPr>
          <w:rFonts w:ascii="Arial" w:hAnsi="Arial"/>
          <w:color w:val="000000"/>
          <w:sz w:val="20"/>
        </w:rPr>
      </w:pPr>
      <w:r>
        <w:rPr>
          <w:rFonts w:ascii="Arial" w:hAnsi="Arial"/>
          <w:color w:val="000000"/>
          <w:sz w:val="20"/>
        </w:rPr>
        <w:t>There is currently significant uncertainty about the future relationship between the U.S. and various other countries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negatively impact U.S. trade. For example, the National Defense Authorization Act of 2026, Section 851, imposes a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 Other regulations could affect the transfer of certain types of data abroad, including to China;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 Moreover, in the event we seek to grow through acquisitions of companies with foreign operations, or we ourselves may become an acquisition target, such transactions could trigger foreign direct investment screening under one or more national security screening regimes — including review by the Committee on Foreign Investment in the United States ("CFIUS") if we are acquired by a foreign person, and/or review by the national security screening mechanisms adopted by various other jurisdictions in which we or an acquisition target have operations. These regimes vary by jurisdiction, continue to evolve, and may subject us to a transaction to mandatory notification, extended review, mitigation conditions, or prohibition, any of which could delay, restructure, or prevent an acquisition our board and stockholders might otherwise favor, and could adversely affect our growth strategy.</w:t>
      </w:r>
    </w:p>
    <w:p>
      <w:pPr>
        <w:pStyle w:val="TextBody"/>
        <w:bidi w:val="0"/>
        <w:spacing w:before="240" w:after="283"/>
        <w:jc w:val="both"/>
        <w:rPr>
          <w:rFonts w:ascii="Arial" w:hAnsi="Arial"/>
          <w:color w:val="000000"/>
          <w:sz w:val="20"/>
        </w:rPr>
      </w:pPr>
      <w:r>
        <w:rPr>
          <w:rFonts w:ascii="Arial" w:hAnsi="Arial"/>
          <w:color w:val="000000"/>
          <w:sz w:val="20"/>
        </w:rPr>
        <w:t>We cannot predict what further actions may ultimately be taken with respect to trade relations between the U.S. and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our business, liquidity, financial condition, and/or results of operations would be materially and adversely affected.</w:t>
      </w:r>
    </w:p>
    <w:p>
      <w:pPr>
        <w:pStyle w:val="TextBody"/>
        <w:bidi w:val="0"/>
        <w:spacing w:before="360" w:after="283"/>
        <w:jc w:val="both"/>
        <w:rPr>
          <w:rFonts w:ascii="Arial" w:hAnsi="Arial"/>
          <w:b/>
          <w:i/>
          <w:color w:val="000000"/>
          <w:sz w:val="20"/>
        </w:rPr>
      </w:pPr>
      <w:r>
        <w:rPr>
          <w:rFonts w:ascii="Arial" w:hAnsi="Arial"/>
          <w:b/>
          <w:i/>
          <w:color w:val="000000"/>
          <w:sz w:val="20"/>
        </w:rPr>
        <w:t>Recent and further changes in the tariff and trade policies of the U.S. or of other countries could increase manufacturing and sourcing costs, decrease demand for our offerings, disrupt supply chains, or otherwise adversely affect our business and financial condition.</w:t>
      </w:r>
    </w:p>
    <w:p>
      <w:pPr>
        <w:pStyle w:val="TextBody"/>
        <w:bidi w:val="0"/>
        <w:spacing w:before="120" w:after="283"/>
        <w:jc w:val="both"/>
        <w:rPr>
          <w:rFonts w:ascii="Times New Roman" w:hAnsi="Times New Roman"/>
          <w:sz w:val="20"/>
        </w:rPr>
      </w:pPr>
      <w:r>
        <w:rPr>
          <w:rFonts w:ascii="Arial" w:hAnsi="Arial"/>
          <w:color w:val="000000"/>
          <w:sz w:val="20"/>
        </w:rPr>
        <w:t>There is currently significant uncertainty about the future relationship between the U.S and its trading partners with respect to trade policies, tariffs, taxes, and similar policies affecting cross-border operations. For example, the U.S. government has made and continues to make significant additional changes in U.S. trade policy, specifically tariffs, and may continue to take future actions that could negatively impact our business. Since 2025, the U.S. government has from time to time significantly escalated tariffs on the import of goods from most U.S. trading partners, including in amounts generally between 10% and 125% through “reciprocal” and “fentanyl-related” tariffs imposed under the International Emergency Economic Powers Act (“IEEPA”); through the use of trade authorities provided under Section 232 of the Trade Expansion Act of 1962, including on certain pharmaceuticals and pharmaceutical products (beginning for imports of certain companies’ patented and branded medicines beginning in July 2026, and expanding more broadly in September 2026); under Section 301 of the Trade Act of 1974, most prominently on items from China; and under Section 122 of the Trade Act of 1974 as a 10% “temporary import surcharge” on imports from most U.S. trading partners. In addition, the U.S. Department of Commerce has initiated Section 232 investigations into additional products, and the U.S. Trade Representative has initiated Section 301 investigations into the trade policies and actions of additional countries and proposed the imposition of new tariffs of 10-12.5% on imports from various U.S. trading partners. When these investigations are complete, the U.S. government may decide to levy additional tariffs on these or other products and/or countries.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response to these and other U.S. trade measures, China, Canada, and other affected countries have taken or have threatened retaliatory actions to respond, with measures that include the imposition of retaliatory tariffs on imports of products of U.S. origin, the imposition of export controls on a wide array of products (including rare earth metals and other critical minerals), and other actions. The adoption of retaliatory actions by affected countries has prompted and could prompt the U.S. to further increase its tariff measures, and continued escalation of tariffs and trade measures could result in the outbreak of a trade war.</w:t>
      </w:r>
    </w:p>
    <w:p>
      <w:pPr>
        <w:pStyle w:val="TextBody"/>
        <w:bidi w:val="0"/>
        <w:spacing w:before="240" w:after="283"/>
        <w:jc w:val="both"/>
        <w:rPr>
          <w:rFonts w:ascii="Arial" w:hAnsi="Arial"/>
          <w:color w:val="000000"/>
          <w:sz w:val="20"/>
        </w:rPr>
      </w:pPr>
      <w:r>
        <w:rPr>
          <w:rFonts w:ascii="Arial" w:hAnsi="Arial"/>
          <w:color w:val="000000"/>
          <w:sz w:val="20"/>
        </w:rPr>
        <w:t>The trade and tariff policies of the U.S. and other countries are therefore currently fluid and subject to further changes. The U.S. government may also impose new tariffs under new or additional authorities, the amount, scope, and duration of which are currently uncertain. The U.S. government also continues to negotiate trade matters with U.S. trading partners, which may result in further changes with respect to tariffs, export controls, and other related matters. While we will make efforts to mitigate the impacts of escalated tariffs on our business, we may be unsuccessful in fully mitigating these effects, or unable to do so at reasonable cost. Recent increases in the tariffs imposed by the U.S. or other countries may (i) have an uncertain effect on the manufacture of our products, including, without limitation, affecting the availability of our products, or of materials used in our products; (ii) affect the prices at which our products, or materials used in our products, may be obtained; (iii) result in customers delaying orders pending further clarity in the tariff landscape; and (iv) have other effects beyond our position or ability to control. In addition, these tariff actions may also indirectly affect our business through impacts on our customers, vendors, suppliers, and other counterparties, who may themselves be directly affected by some or all of these tariff actions, or indirectly affected by macroeconomic effects resulting from these or other tariff related actions, including potential risks associated with inflation or economic recession. Should the trade relationships between the U.S. and its trading partners remain strained or worsen, our business, liquidity, financial condition, and/or results of operations may therefore be materially and adversely affected.</w:t>
      </w:r>
    </w:p>
    <w:p>
      <w:pPr>
        <w:pStyle w:val="Heading1"/>
        <w:bidi w:val="0"/>
        <w:spacing w:before="360" w:after="283"/>
        <w:jc w:val="left"/>
        <w:rPr>
          <w:rFonts w:ascii="Arial" w:hAnsi="Arial"/>
          <w:color w:val="000000"/>
          <w:sz w:val="20"/>
        </w:rPr>
      </w:pPr>
      <w:r>
        <w:rPr>
          <w:rFonts w:ascii="Arial" w:hAnsi="Arial"/>
          <w:color w:val="000000"/>
          <w:sz w:val="20"/>
        </w:rPr>
        <w:t>Risks Related to Our Reliance on Third Parties</w:t>
      </w:r>
    </w:p>
    <w:p>
      <w:pPr>
        <w:pStyle w:val="TextBody"/>
        <w:bidi w:val="0"/>
        <w:spacing w:before="120" w:after="283"/>
        <w:jc w:val="both"/>
        <w:rPr>
          <w:rFonts w:ascii="Arial" w:hAnsi="Arial"/>
          <w:b/>
          <w:i/>
          <w:color w:val="000000"/>
          <w:sz w:val="20"/>
        </w:rPr>
      </w:pPr>
      <w:r>
        <w:rPr>
          <w:rFonts w:ascii="Arial" w:hAnsi="Arial"/>
          <w:b/>
          <w:i/>
          <w:color w:val="000000"/>
          <w:sz w:val="20"/>
        </w:rPr>
        <w:t>We may use strategic collaborations, licensing arrangements or partnerships to accelerate the development and maximize the commercial potential of our programs, and we may not realize the benefits of such collaborations, arrangements or partnerships.</w:t>
      </w:r>
    </w:p>
    <w:p>
      <w:pPr>
        <w:pStyle w:val="TextBody"/>
        <w:bidi w:val="0"/>
        <w:spacing w:before="120" w:after="283"/>
        <w:jc w:val="both"/>
        <w:rPr>
          <w:rFonts w:ascii="Times New Roman" w:hAnsi="Times New Roman"/>
          <w:sz w:val="20"/>
        </w:rPr>
      </w:pPr>
      <w:r>
        <w:rPr>
          <w:rFonts w:ascii="Arial" w:hAnsi="Arial"/>
          <w:color w:val="000000"/>
          <w:sz w:val="20"/>
        </w:rPr>
        <w:t>We own or in-license worldwide intellectual property rights to our drug candidates, including lasofoxifene and brelgometon. We have in the past and, where appropriate in the future, may use strategic collaborations, licensing arrangements or partnerships to accelerate the development and maximize the commercial potential of our programs.</w:t>
      </w:r>
      <w:r>
        <w:rPr>
          <w:rFonts w:ascii="Times New Roman" w:hAnsi="Times New Roman"/>
          <w:color w:val="000000"/>
          <w:sz w:val="20"/>
        </w:rPr>
        <w:t xml:space="preserve"> </w:t>
      </w:r>
      <w:r>
        <w:rPr>
          <w:rFonts w:ascii="Arial" w:hAnsi="Arial"/>
          <w:color w:val="000000"/>
          <w:sz w:val="20"/>
        </w:rPr>
        <w:t>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Arial" w:hAnsi="Arial"/>
          <w:color w:val="000000"/>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36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rFonts w:ascii="Arial" w:hAnsi="Arial"/>
          <w:color w:val="000000"/>
          <w:sz w:val="20"/>
        </w:rPr>
      </w:pPr>
      <w:r>
        <w:rPr>
          <w:rFonts w:ascii="Arial" w:hAnsi="Arial"/>
          <w:color w:val="000000"/>
          <w:sz w:val="20"/>
        </w:rPr>
        <w:t>We have in the past in-licensed product candidates, including lasofoxifene, and from time to time, we may evaluate future acquisition opportunities and strategic transactions and partnerships, including licensing or acquiring complementary products, intellectual property rights, technologies or businesses. Any acquisition, license, or strategic partnership or potential acquisition or strategic partnership entails and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Times New Roman" w:hAnsi="Times New Roman"/>
          <w:sz w:val="20"/>
        </w:rPr>
      </w:pPr>
      <w:r>
        <w:rPr>
          <w:rFonts w:ascii="Arial" w:hAnsi="Arial"/>
          <w:color w:val="000000"/>
          <w:sz w:val="20"/>
        </w:rPr>
        <w:t>In connection with our in-license of lasofoxifene, we issued dilutive securities, assumed certain payment obligations, and incurred significant transaction expenses. Such obligations and expenses could increase in the future as we integrate this product candidate into our operations and as we progress their development. In addition, if we undertake acquisitions or pursue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partnerships in the future, we may issue dilutive securities, assume or incur debt obligations, incur large one-time expenses and acquire intangible assets that could result in significant future amortization expense.</w:t>
      </w:r>
    </w:p>
    <w:p>
      <w:pPr>
        <w:pStyle w:val="TextBody"/>
        <w:bidi w:val="0"/>
        <w:spacing w:before="36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clinical research organizations (“CROs”), commercial manufacturing organizations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Times New Roman" w:hAnsi="Times New Roman"/>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 As a result of our in-license of lasofoxifene, we are working with a number of third parties involved in the development of those product candidates with whom we do not have a prior relationship. Our new relationships with these parties are subject to the risks described above and we will need to develop a strong working relationship with these parties in the near-term to help drive the clinical development of lasofoxifene in a timely manner and we may not be successful in these efforts.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 types of agreements)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pStyle w:val="TextBody"/>
        <w:bidi w:val="0"/>
        <w:spacing w:before="240" w:after="283"/>
        <w:jc w:val="both"/>
        <w:rPr>
          <w:rFonts w:ascii="Arial" w:hAnsi="Arial"/>
          <w:color w:val="000000"/>
          <w:sz w:val="20"/>
        </w:rPr>
      </w:pPr>
      <w:r>
        <w:rPr>
          <w:rFonts w:ascii="Arial" w:hAnsi="Arial"/>
          <w:color w:val="000000"/>
          <w:sz w:val="20"/>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pStyle w:val="TextBody"/>
        <w:bidi w:val="0"/>
        <w:spacing w:before="240" w:after="283"/>
        <w:jc w:val="both"/>
        <w:rPr>
          <w:rFonts w:ascii="Arial" w:hAnsi="Arial"/>
          <w:color w:val="000000"/>
          <w:sz w:val="20"/>
        </w:rPr>
      </w:pPr>
      <w:r>
        <w:rPr>
          <w:rFonts w:ascii="Arial" w:hAnsi="Arial"/>
          <w:color w:val="000000"/>
          <w:sz w:val="20"/>
        </w:rPr>
        <w:t>Relatedly, the United States has recently enacted and proposed to enact significant new tariffs on a number of countries. President Trump has directed various federal agencies to further evaluate key aspects of U.S. trade policy and there have been and may continue to be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pStyle w:val="TextBody"/>
        <w:bidi w:val="0"/>
        <w:spacing w:before="240" w:after="283"/>
        <w:jc w:val="both"/>
        <w:rPr>
          <w:rFonts w:ascii="Arial" w:hAnsi="Arial"/>
          <w:color w:val="000000"/>
          <w:sz w:val="20"/>
        </w:rPr>
      </w:pPr>
      <w:r>
        <w:rPr>
          <w:rFonts w:ascii="Arial" w:hAnsi="Arial"/>
          <w:color w:val="000000"/>
          <w:sz w:val="20"/>
        </w:rPr>
        <w:t>The tariff situation remains volatile. For example, a February 20, 2026, ruling from the U.S. Supreme Court invalidated the President’s recent invocation of the International Emergency Economic Powers Act (“IEEPA”) to authorize certain recent tariff actions, and these tariffs were rescinded on February 24, 2026. Though guidance suggests that tariff refunds are forthcoming for entries on which these IEEPA tariffs were collected, exact details regarding the availability, timing, and amount of any refunds remains uncertain and subject to further litigation and legal, regulatory, and administrative actions, though the U.S. government began rolling out a system on April 20, 2026 to begin processing refund requests for certain affected entries. The U.S. government also implemented a new global “temporary import surcharge” of 10% on many of the same imported products that were subject to the IEEPA tariffs beginning February 24, 2026, under authorities provided for in Section 122 of the Trade Act of 1974, supplementing non-IEEPA tariff measures. On April 2, 2026, the U.S. government also announced plans to impose a 100% Section 232 tariff on the import of certain patented and branded pharmaceutical products, beginning September 29, 2026. Further tariffs may also be forthcoming following the initiation and completion of additional Section 232 and Section 301 tariff investigations. We cannot predict what products and services may be subject to such actions or what actions may be taken by the other countries in retaliation, any of which may materially and adversely affect our business, financial condition, results of operations, and cash flows.</w:t>
      </w:r>
    </w:p>
    <w:p>
      <w:pPr>
        <w:pStyle w:val="TextBody"/>
        <w:bidi w:val="0"/>
        <w:spacing w:before="36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commercially produce our drug candidates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drug candidates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drug candidates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120" w:after="283"/>
        <w:jc w:val="both"/>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Heading1"/>
        <w:bidi w:val="0"/>
        <w:spacing w:before="360" w:after="283"/>
        <w:jc w:val="left"/>
        <w:rPr>
          <w:rFonts w:ascii="Arial" w:hAnsi="Arial"/>
          <w:color w:val="000000"/>
          <w:sz w:val="20"/>
        </w:rPr>
      </w:pPr>
      <w:r>
        <w:rPr>
          <w:rFonts w:ascii="Arial" w:hAnsi="Arial"/>
          <w:color w:val="000000"/>
          <w:sz w:val="20"/>
        </w:rPr>
        <w:t>Risks Related to Our Ability to Commercialize our Drug Products</w:t>
      </w:r>
    </w:p>
    <w:p>
      <w:pPr>
        <w:pStyle w:val="TextBody"/>
        <w:bidi w:val="0"/>
        <w:spacing w:before="12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36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36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120" w:after="283"/>
        <w:jc w:val="both"/>
        <w:rPr>
          <w:rFonts w:ascii="Arial" w:hAnsi="Arial"/>
          <w:color w:val="000000"/>
          <w:sz w:val="20"/>
        </w:rPr>
      </w:pPr>
      <w:r>
        <w:rPr>
          <w:rFonts w:ascii="Arial" w:hAnsi="Arial"/>
          <w:color w:val="000000"/>
          <w:sz w:val="20"/>
        </w:rPr>
        <w:t>Certain of our drug candidates (currently brelgometon) are being developed as treatments for various CNS and PNS disorder indications, and lasofoxifene is being developed as a treatment for breast cancer.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 relevant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36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Patients with cancer and other diseases targeted by lasofoxifene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lasofoxifene or our product candidates. Such events could subject us to costly litigation, require us to pay substantial amounts of money to injured patients, delay, negatively impact or end the opportunity to receive or maintain regulatory approval to market lasofoxifene or our product candidates, or require us or our strategic partners to suspend or abandon commercialization efforts. Even in circumstances in which we do not believe that an adverse event is related to lasofoxifene or our product candidates, the investigation into the circumstance may be time-consuming or inconclusive, and may result in reputational harm. These investigations may interrupt our sales efforts, delay our regulatory approval process in other countries, or impact and limit the type of regulatory approvals lasofoxifene or our product candidates receive or maintain. As a result of these factors, a product liability claim, even if successfully defended, could have a material adverse effect on our business,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000000"/>
          <w:sz w:val="20"/>
        </w:rPr>
      </w:pPr>
      <w:r>
        <w:rPr>
          <w:rFonts w:ascii="Arial" w:hAnsi="Arial"/>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Arial" w:hAnsi="Arial"/>
          <w:color w:val="000000"/>
          <w:sz w:val="20"/>
        </w:rPr>
      </w:pPr>
      <w:r>
        <w:rPr>
          <w:rFonts w:ascii="Arial" w:hAnsi="Arial"/>
          <w:color w:val="000000"/>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U.S. or non-U.S. tariffs, trade barriers, price and exchange controls and other regulatory requirements, including any changes that nations may impose as a result of political tensions;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Heading1"/>
        <w:bidi w:val="0"/>
        <w:spacing w:before="360" w:after="283"/>
        <w:jc w:val="left"/>
        <w:rPr>
          <w:rFonts w:ascii="Arial" w:hAnsi="Arial"/>
          <w:color w:val="000000"/>
          <w:sz w:val="20"/>
        </w:rPr>
      </w:pPr>
      <w:r>
        <w:rPr>
          <w:rFonts w:ascii="Arial" w:hAnsi="Arial"/>
          <w:color w:val="000000"/>
          <w:sz w:val="20"/>
        </w:rPr>
        <w:t>Risks Related to Our Intellectual Property</w:t>
      </w:r>
    </w:p>
    <w:p>
      <w:pPr>
        <w:pStyle w:val="TextBody"/>
        <w:bidi w:val="0"/>
        <w:spacing w:before="12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(“PGR”), and inter partes review (“IPR”),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36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Times New Roman" w:hAnsi="Times New Roman"/>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For example, we are aware of patents that claim methods of treating cancer that could be alleged to cover our methods of treatment, although our methods of treatment are indicated for a different patient population. While we believe that we would have valid defenses to any claims of patent infringement and that these patents would be difficult to enforce, we cannot be certain that we would prevail in any dispute, and we cannot be certain how an adverse determination would affect our business.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pStyle w:val="TextBody"/>
        <w:bidi w:val="0"/>
        <w:spacing w:before="240" w:after="283"/>
        <w:jc w:val="both"/>
        <w:rPr>
          <w:rFonts w:ascii="Arial" w:hAnsi="Arial"/>
          <w:color w:val="000000"/>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36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12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36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On September 16,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Times New Roman" w:hAnsi="Times New Roman"/>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patents or those of any current or future licensors, all of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36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36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36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36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Times New Roman" w:hAnsi="Times New Roman"/>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36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36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Pursuant to the Bayh-Dole Act of 1980 (the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 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Heading1"/>
        <w:bidi w:val="0"/>
        <w:spacing w:before="360" w:after="283"/>
        <w:jc w:val="left"/>
        <w:rPr>
          <w:rFonts w:ascii="Arial" w:hAnsi="Arial"/>
          <w:color w:val="000000"/>
          <w:sz w:val="20"/>
        </w:rPr>
      </w:pPr>
      <w:r>
        <w:rPr>
          <w:rFonts w:ascii="Arial" w:hAnsi="Arial"/>
          <w:color w:val="000000"/>
          <w:sz w:val="20"/>
        </w:rPr>
        <w:t>Risks Related to Cybersecurity</w:t>
      </w:r>
    </w:p>
    <w:p>
      <w:pPr>
        <w:pStyle w:val="TextBody"/>
        <w:bidi w:val="0"/>
        <w:spacing w:before="12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discussed in the section titled “Part 1, Item 1.C—Cybersecurity”, in our Annual Report on Form 10-K filed with the SEC on March 31, 2026,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August 2025, CRO Inotiv, Inc.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Arial" w:hAnsi="Arial"/>
          <w:color w:val="000000"/>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Increasing use of artificial intelligence by threat actors, including to identify and exploit vulnerabilities and to craft attacks, also may increase the risks of security breaches and incidents and may increase the scope and impact of security breaches and incidents.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(“EEA”), is subject to the EU General Data Protection Regulation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 United Kingdom (“UK”) also made amendments to its data protection regime on June 19, 2025, in the UK Data (Use and Access) Act (“DUAA”). The European Commission has renewed its decision that the UK provides an adequate level of data protection and that generally permits personal data transfers from the EEA to the UK after assessing the DUAA, but it remains subject to potential revocation or modification.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UK has implemented legislation similar to the GDPR, referred to as the UK GDPR, which provides for fines of up to the greater of up to the greater of £17.5 million or 4% of global turnover, and made targeted amendments to it in the UK Data (Use and Access) Act 2025. The GDPR and UK GDPR have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security, including Washington’s My Health, My Data Act, and several laws imposing obligations similar to those of the CCPA. The U.S. Department of Justice also has issued rules regarding certain bulk sensitive personal data transfers.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Heading1"/>
        <w:bidi w:val="0"/>
        <w:spacing w:before="360" w:after="283"/>
        <w:jc w:val="left"/>
        <w:rPr>
          <w:rFonts w:ascii="Arial" w:hAnsi="Arial"/>
          <w:color w:val="000000"/>
          <w:sz w:val="20"/>
        </w:rPr>
      </w:pPr>
      <w:r>
        <w:rPr>
          <w:rFonts w:ascii="Arial" w:hAnsi="Arial"/>
          <w:color w:val="000000"/>
          <w:sz w:val="20"/>
        </w:rPr>
        <w:t>Risks Related to Ownership of Our Common Stock</w:t>
      </w:r>
    </w:p>
    <w:p>
      <w:pPr>
        <w:pStyle w:val="TextBody"/>
        <w:bidi w:val="0"/>
        <w:spacing w:before="12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commencement of any litigation and/or governmental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regulations and customs, tariffs or trade barriers, or the perception that any such changes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Future sales, or the perception of future sales, of a substantial amount of our common stock could depress the trading price of our common stock.</w:t>
      </w:r>
    </w:p>
    <w:p>
      <w:pPr>
        <w:pStyle w:val="TextBody"/>
        <w:bidi w:val="0"/>
        <w:spacing w:before="120" w:after="283"/>
        <w:jc w:val="both"/>
        <w:rPr>
          <w:rFonts w:ascii="Arial" w:hAnsi="Arial"/>
          <w:color w:val="000000"/>
          <w:sz w:val="20"/>
        </w:rPr>
      </w:pPr>
      <w:r>
        <w:rPr>
          <w:rFonts w:ascii="Arial" w:hAnsi="Arial"/>
          <w:color w:val="000000"/>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240" w:after="283"/>
        <w:jc w:val="both"/>
        <w:rPr>
          <w:rFonts w:ascii="Times New Roman" w:hAnsi="Times New Roman"/>
          <w:sz w:val="20"/>
        </w:rPr>
      </w:pPr>
      <w:r>
        <w:rPr>
          <w:rFonts w:ascii="Arial" w:hAnsi="Arial"/>
          <w:color w:val="000000"/>
          <w:sz w:val="20"/>
        </w:rPr>
        <w:t>For example, in connection with our December 2025 private placement and our in-license of lasofoxifene, we entered into registration rights agreements with various parties that require us to prepare and file resale registration statements upon request, which when filed and declared effective by the SEC will permit the resale by such stockholders of approximately 5.4 million shares of our common stock as well as approximately 58.6 million shares of common stock issuable upon the exercise of prefunded warrants and warrants. We have in the past and may again in the future issue shares of our common stock to strategic partners in connection with our license agreements, as we did in December 2025 in connection with our in-license of lasofoxifene.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also register the offer and sale of all shares of common stock that we may issue under our equity incentive plans. Once we register the offer and sale of shares for the holders of registration rights and option holders, they can be freely sold in the public market upon issuance, subject to any related lock-up agreements or applicable securities laws. Our equity incentive plan also includes an evergreen provision, pursuant to which the share reserve used to make equity grants under such plan automatically increases on the first day of each calendar year unless our board of directors takes action to prevent the increase prior to such date. We believe this evergreen provision is an important feature of our equity incentive plan as it enables us to hire and retain key contributors to our business. As we look to expand the size of our organization to advance the development of our product candidates, including lasofoxifene and brelgometon, our existing share reserve and evergreen provision under our current equity incentive plans may be insufficient to support our growth plans and we expect that we may need to consider amendments to such equity incentive plans or adoption of new equity incentive plans to provide additional flexibility for our hiring and retention plans. Any increase to the share reserves for our equity incentive plans in the future would further dilute existing stockholders.</w:t>
      </w:r>
    </w:p>
    <w:p>
      <w:pPr>
        <w:pStyle w:val="TextBody"/>
        <w:bidi w:val="0"/>
        <w:spacing w:before="240" w:after="283"/>
        <w:jc w:val="both"/>
        <w:rPr>
          <w:rFonts w:ascii="Arial" w:hAnsi="Arial"/>
          <w:color w:val="000000"/>
          <w:sz w:val="20"/>
        </w:rPr>
      </w:pPr>
      <w:r>
        <w:rPr>
          <w:rFonts w:ascii="Arial" w:hAnsi="Arial"/>
          <w:color w:val="000000"/>
          <w:sz w:val="20"/>
        </w:rPr>
        <w:t>Our executive officers and directors may enter into Rule 10b5-1 trading plans in the future. Under a Rule 10b5-1 trading plan, a broker executes trades pursuant to parameters established by the employee, director, or officer when entering into the plan, without further direction from the employee, officer, or director.</w:t>
      </w:r>
    </w:p>
    <w:p>
      <w:pPr>
        <w:pStyle w:val="TextBody"/>
        <w:bidi w:val="0"/>
        <w:spacing w:before="240" w:after="283"/>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additional issuances pursuant to our “at-the-market” equity offering sales agreement with Cantor Fitzgerald or BTIG, could result in substantial dilution to our existing stockholders and could cause our stock price to decline.</w:t>
      </w:r>
    </w:p>
    <w:p>
      <w:pPr>
        <w:pStyle w:val="TextBody"/>
        <w:bidi w:val="0"/>
        <w:spacing w:before="360" w:after="283"/>
        <w:jc w:val="both"/>
        <w:rPr>
          <w:rFonts w:ascii="Times New Roman" w:hAnsi="Times New Roman"/>
          <w:sz w:val="20"/>
        </w:rPr>
      </w:pPr>
      <w:r>
        <w:rPr>
          <w:rFonts w:ascii="Arial" w:hAnsi="Arial"/>
          <w:b/>
          <w:i/>
          <w:color w:val="000000"/>
          <w:sz w:val="20"/>
        </w:rPr>
        <w:t>We and certain of our directors and executive officers have previously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At times our market capitalization has been less than the aggregate value of our cash, cash equivalents and investments, and other biotechnology companies in this situation have received proposals from shareholder activists to liquidate and return capital to investors. Any such proxy contest or other activist efforts could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if any such actions were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36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Our directors, executive officers and significant stockholders collectively own a substantial percentage of our common stock, which could limit your ability to affect the outcome of key transactions, including a change of control.</w:t>
      </w:r>
    </w:p>
    <w:p>
      <w:pPr>
        <w:pStyle w:val="TextBody"/>
        <w:bidi w:val="0"/>
        <w:spacing w:before="12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collectively beneficially own a substantial amount of our outstanding common stock as of December 31, 2025.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are a “smaller reporting company” and a “non-accelerated filer”, and the reduced disclosure requirements available to us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a “smaller reporting company” and a “non-accelerated filer.” For so long as we remain a smaller reporting company, we are permitted and plan to rely on exemptions from certain disclosure requirements that are applicable to other public companies that are not smaller reporting companies, which include reduced disclosure obligations regarding executive compensation. We qualify as a smaller reporting company and we will remain a smaller reporting company so long as, as of June 30 of the preceding year, (i) the market value of our common shares held by non-affiliates, or our public float, is less than $250 million; or (ii) we have annual revenues less than $100 million and either we have no public float or our public float is less than $700 million. In addition, so long as we qualify as a non-accelerated filer, we are not required to comply with the auditor attestation requirements of Section 404 of the Sarbanes-Oxley Act of 2002 (the “Sarbanes-Oxley Act”). As a result, the information we provide stockholders will be different than the information that is available with respect to certain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36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36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Heading1"/>
        <w:bidi w:val="0"/>
        <w:spacing w:before="360" w:after="283"/>
        <w:jc w:val="left"/>
        <w:rPr>
          <w:rFonts w:ascii="Arial" w:hAnsi="Arial"/>
          <w:color w:val="000000"/>
          <w:sz w:val="20"/>
        </w:rPr>
      </w:pPr>
      <w:r>
        <w:rPr>
          <w:rFonts w:ascii="Arial" w:hAnsi="Arial"/>
          <w:color w:val="000000"/>
          <w:sz w:val="20"/>
        </w:rPr>
        <w:t>General Risk Factors</w:t>
      </w:r>
    </w:p>
    <w:p>
      <w:pPr>
        <w:pStyle w:val="TextBody"/>
        <w:bidi w:val="0"/>
        <w:spacing w:before="12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12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We expect to hire a significant number of such employees in the near term as we pursue the clinical development of lasofoxifene, and as we continue to develop brelgometon. The loss of one or more of our key employees, or our inability to hire additional key personnel when needed, could have a material adverse effect on our business and prospects.</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12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w:t>
      </w:r>
      <w:r>
        <w:rPr>
          <w:rFonts w:ascii="Times New Roman" w:hAnsi="Times New Roman"/>
          <w:color w:val="000000"/>
          <w:sz w:val="20"/>
        </w:rPr>
        <w:t>’</w:t>
      </w:r>
      <w:r>
        <w:rPr>
          <w:rFonts w:ascii="Times New Roman" w:hAnsi="Times New Roman"/>
          <w:color w:val="212529"/>
          <w:sz w:val="20"/>
        </w:rPr>
        <w:t xml:space="preserve"> </w:t>
      </w:r>
      <w:r>
        <w:rPr>
          <w:rFonts w:ascii="Arial" w:hAnsi="Arial"/>
          <w:color w:val="212529"/>
          <w:sz w:val="20"/>
        </w:rPr>
        <w:t>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36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and particularly after we are no longer a smaller reporting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120" w:after="283"/>
        <w:jc w:val="both"/>
        <w:rPr>
          <w:rFonts w:ascii="Arial" w:hAnsi="Arial"/>
          <w:color w:val="000000"/>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could materially and adversely affect our business and the value of our common stock.</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36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and Use of Proceeds.</w:t>
      </w:r>
    </w:p>
    <w:p>
      <w:pPr>
        <w:pStyle w:val="TextBody"/>
        <w:bidi w:val="0"/>
        <w:spacing w:before="12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Arial" w:hAnsi="Arial"/>
          <w:b/>
          <w:color w:val="000000"/>
          <w:sz w:val="20"/>
        </w:rPr>
      </w:pPr>
      <w:bookmarkStart w:id="16" w:name="item_3_defaults_upon_senior_securities"/>
      <w:bookmarkEnd w:id="16"/>
      <w:r>
        <w:rPr>
          <w:rFonts w:ascii="Arial" w:hAnsi="Arial"/>
          <w:b/>
          <w:color w:val="000000"/>
          <w:sz w:val="20"/>
        </w:rPr>
        <w:t>Item 3. Defaults Upon Senior Securities.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360" w:after="283"/>
        <w:jc w:val="both"/>
        <w:rPr>
          <w:rFonts w:ascii="Arial" w:hAnsi="Arial"/>
          <w:b/>
          <w:color w:val="000000"/>
          <w:sz w:val="20"/>
        </w:rPr>
      </w:pPr>
      <w:bookmarkStart w:id="17" w:name="item_4_mine_safety_disclosures"/>
      <w:bookmarkEnd w:id="17"/>
      <w:r>
        <w:rPr>
          <w:rFonts w:ascii="Arial" w:hAnsi="Arial"/>
          <w:b/>
          <w:color w:val="000000"/>
          <w:sz w:val="20"/>
        </w:rPr>
        <w:t>Item 4. Mine Safety Disclosures.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360" w:after="283"/>
        <w:jc w:val="both"/>
        <w:rPr>
          <w:rFonts w:ascii="Arial" w:hAnsi="Arial"/>
          <w:b/>
          <w:color w:val="000000"/>
          <w:sz w:val="20"/>
        </w:rPr>
      </w:pPr>
      <w:bookmarkStart w:id="18" w:name="item_5_or_information"/>
      <w:bookmarkEnd w:id="18"/>
      <w:r>
        <w:rPr>
          <w:rFonts w:ascii="Arial" w:hAnsi="Arial"/>
          <w:b/>
          <w:color w:val="000000"/>
          <w:sz w:val="20"/>
        </w:rPr>
        <w:t>Item 5. Other Information.</w:t>
      </w:r>
    </w:p>
    <w:p>
      <w:pPr>
        <w:pStyle w:val="TextBody"/>
        <w:bidi w:val="0"/>
        <w:spacing w:before="120" w:after="283"/>
        <w:jc w:val="both"/>
        <w:rPr>
          <w:rFonts w:ascii="Arial" w:hAnsi="Arial"/>
          <w:b/>
          <w:i/>
          <w:color w:val="000000"/>
          <w:sz w:val="20"/>
        </w:rPr>
      </w:pPr>
      <w:r>
        <w:rPr>
          <w:rFonts w:ascii="Arial" w:hAnsi="Arial"/>
          <w:b/>
          <w:i/>
          <w:color w:val="000000"/>
          <w:sz w:val="20"/>
        </w:rPr>
        <w:t>Rule 10b5-1 trading arrangement</w:t>
      </w:r>
    </w:p>
    <w:p>
      <w:pPr>
        <w:pStyle w:val="TextBody"/>
        <w:bidi w:val="0"/>
        <w:spacing w:before="12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bookmarkStart w:id="19" w:name="item_6_exhibits"/>
      <w:bookmarkEnd w:id="19"/>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6047"/>
        <w:gridCol w:w="526"/>
        <w:gridCol w:w="728"/>
        <w:gridCol w:w="661"/>
        <w:gridCol w:w="1308"/>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89"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04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8"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308"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the Amended and Restated Certificate of Incorporation of the Company dated May 23,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Certificate of Amendment to the Amended and Restated Certificate of Incorporation of the Company dated September 10, 2025</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11, 2025</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3.4</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jc w:val="left"/>
              <w:rPr/>
            </w:pPr>
            <w:hyperlink r:id="rId6">
              <w:r>
                <w:rPr>
                  <w:rStyle w:val="InternetLink"/>
                  <w:rFonts w:ascii="Arial" w:hAnsi="Arial"/>
                  <w:color w:val="0000FF"/>
                  <w:sz w:val="20"/>
                  <w:u w:val="single"/>
                </w:rPr>
                <w:t>Certificate of Amendment to the Amended and Restated Certificate of Incorporation of the Company dated January 6, 2026</w:t>
              </w:r>
            </w:hyperlink>
          </w:p>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9, 2026</w:t>
            </w:r>
          </w:p>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3.5</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jc w:val="left"/>
              <w:rPr/>
            </w:pPr>
            <w:hyperlink r:id="rId7">
              <w:r>
                <w:rPr>
                  <w:rStyle w:val="InternetLink"/>
                  <w:rFonts w:ascii="Arial" w:hAnsi="Arial"/>
                  <w:color w:val="0000FF"/>
                  <w:sz w:val="20"/>
                  <w:u w:val="single"/>
                </w:rPr>
                <w:t>Certificate of Amendment to the Amended and Restated Certificate of Incorporation of the Company dated March 18, 2026</w:t>
              </w:r>
            </w:hyperlink>
          </w:p>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19, 2026</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9, 2026</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rFonts w:ascii="Arial" w:hAnsi="Arial"/>
          <w:color w:val="000000"/>
          <w:sz w:val="16"/>
        </w:rPr>
      </w:pPr>
      <w:r>
        <w:rPr>
          <w:rFonts w:ascii="Arial" w:hAnsi="Arial"/>
          <w:color w:val="000000"/>
          <w:sz w:val="16"/>
        </w:rPr>
        <w:t>** Indicates a management contract or compensatory plan.</w:t>
      </w:r>
    </w:p>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8587" w:type="dxa"/>
        <w:jc w:val="left"/>
        <w:tblInd w:w="0" w:type="dxa"/>
        <w:tblLayout w:type="fixed"/>
        <w:tblCellMar>
          <w:top w:w="28" w:type="dxa"/>
          <w:left w:w="28" w:type="dxa"/>
          <w:bottom w:w="28" w:type="dxa"/>
          <w:right w:w="28" w:type="dxa"/>
        </w:tblCellMar>
      </w:tblPr>
      <w:tblGrid>
        <w:gridCol w:w="2071"/>
        <w:gridCol w:w="109"/>
        <w:gridCol w:w="406"/>
        <w:gridCol w:w="6001"/>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LeonaBio,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Robert Renninger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Robert Renninger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Times New Roman" w:hAnsi="Times New Roman"/>
                <w:sz w:val="20"/>
              </w:rPr>
            </w:pPr>
            <w:r>
              <w:rPr>
                <w:rFonts w:ascii="Arial" w:hAnsi="Arial"/>
                <w:color w:val="000000"/>
                <w:sz w:val="20"/>
              </w:rPr>
              <w:t>(</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bookmarkStart w:id="21" w:name="lona-ex31_1.htm"/>
      <w:bookmarkStart w:id="22" w:name="kslona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LeonaBio,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14, 2026</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ona-ex31_2.htm"/>
      <w:bookmarkStart w:id="24" w:name="kslona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Robert Renninger,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LeonaBio,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14, 2026</w:t>
      </w:r>
    </w:p>
    <w:p>
      <w:pPr>
        <w:pStyle w:val="TextBody"/>
        <w:bidi w:val="0"/>
        <w:jc w:val="left"/>
        <w:rPr/>
      </w:pPr>
      <w:r>
        <w:rPr/>
        <w:t> </w:t>
      </w:r>
    </w:p>
    <w:tbl>
      <w:tblPr>
        <w:tblW w:w="4032" w:type="dxa"/>
        <w:jc w:val="left"/>
        <w:tblInd w:w="0" w:type="dxa"/>
        <w:tblLayout w:type="fixed"/>
        <w:tblCellMar>
          <w:top w:w="28" w:type="dxa"/>
          <w:left w:w="28" w:type="dxa"/>
          <w:bottom w:w="28" w:type="dxa"/>
          <w:right w:w="28" w:type="dxa"/>
        </w:tblCellMar>
      </w:tblPr>
      <w:tblGrid>
        <w:gridCol w:w="384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Renninger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Renninger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ona-ex32_1.htm"/>
      <w:bookmarkStart w:id="26" w:name="kslona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Quarterly Report on Form 10-Q of LeonaBio, Inc. (the “Company”) for the quarter ended June 30, 2026,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14, 2026</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LeonaBio,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ona-ex32_2.htm"/>
      <w:bookmarkStart w:id="28" w:name="kslona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LeonaBio, Inc. (the “Company”) for the quarter ended June 30, 2026, as filed with the Securities and Exchange Commission on the date hereof (the “Report”), I, Robert Renninger, Chief Financial Officer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August 14, 2026</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r>
      <w:tr>
        <w:trPr/>
        <w:tc>
          <w:tcPr>
            <w:tcW w:w="388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r>
      <w:tr>
        <w:trPr/>
        <w:tc>
          <w:tcPr>
            <w:tcW w:w="388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w:t>
            </w:r>
          </w:p>
        </w:tc>
      </w:tr>
      <w:tr>
        <w:trPr/>
        <w:tc>
          <w:tcPr>
            <w:tcW w:w="388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LeonaBio,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4065914/atha-ex3_1.htm" TargetMode="External"/><Relationship Id="rId5" Type="http://schemas.openxmlformats.org/officeDocument/2006/relationships/hyperlink" Target="https://www.sec.gov/Archives/edgar/data/1620463/000095017025114093/atha-ex3_1.htm" TargetMode="External"/><Relationship Id="rId6" Type="http://schemas.openxmlformats.org/officeDocument/2006/relationships/hyperlink" Target="https://www.sec.gov/Archives/edgar/data/1620463/000119312526008904/atha-ex3_1.htm" TargetMode="External"/><Relationship Id="rId7" Type="http://schemas.openxmlformats.org/officeDocument/2006/relationships/hyperlink" Target="https://www.sec.gov/Archives/edgar/data/1620463/000119312526116123/lona-ex3_1.htm" TargetMode="External"/><Relationship Id="rId8" Type="http://schemas.openxmlformats.org/officeDocument/2006/relationships/hyperlink" Target="https://www.sec.gov/Archives/edgar/data/1620463/000119312526008904/atha-ex3_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70640</Words>
  <Characters>394430</Characters>
  <CharactersWithSpaces>465556</CharactersWithSpaces>
  <Paragraphs>6715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