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LeonaBio,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ACORN BIOVENTURES, L.P.</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480,653.00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480,653.00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480,653.00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ACORN CAPITAL ADVISORS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480,653.00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480,653.00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480,653.00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3"/>
        <w:gridCol w:w="8192"/>
      </w:tblGrid>
      <w:tr>
        <w:trPr/>
        <w:tc>
          <w:tcPr>
            <w:tcW w:w="2013" w:type="dxa"/>
            <w:tcBorders/>
            <w:vAlign w:val="center"/>
          </w:tcPr>
          <w:p>
            <w:pPr>
              <w:pStyle w:val="TableContents"/>
              <w:bidi w:val="0"/>
              <w:spacing w:before="0" w:after="283"/>
              <w:jc w:val="left"/>
              <w:rPr/>
            </w:pPr>
            <w:r>
              <w:rPr/>
              <w:t>1</w:t>
            </w:r>
          </w:p>
        </w:tc>
        <w:tc>
          <w:tcPr>
            <w:tcW w:w="819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ACORN BIOVENTURES 2, L.P.</w:t>
            </w:r>
          </w:p>
        </w:tc>
      </w:tr>
      <w:tr>
        <w:trPr/>
        <w:tc>
          <w:tcPr>
            <w:tcW w:w="2013" w:type="dxa"/>
            <w:tcBorders/>
            <w:vAlign w:val="center"/>
          </w:tcPr>
          <w:p>
            <w:pPr>
              <w:pStyle w:val="TableContents"/>
              <w:bidi w:val="0"/>
              <w:spacing w:before="0" w:after="283"/>
              <w:jc w:val="left"/>
              <w:rPr/>
            </w:pPr>
            <w:r>
              <w:rPr/>
              <w:t>2</w:t>
            </w:r>
          </w:p>
        </w:tc>
        <w:tc>
          <w:tcPr>
            <w:tcW w:w="819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3" w:type="dxa"/>
            <w:tcBorders/>
            <w:vAlign w:val="center"/>
          </w:tcPr>
          <w:p>
            <w:pPr>
              <w:pStyle w:val="TableContents"/>
              <w:bidi w:val="0"/>
              <w:spacing w:before="0" w:after="283"/>
              <w:jc w:val="left"/>
              <w:rPr/>
            </w:pPr>
            <w:r>
              <w:rPr/>
              <w:t>3</w:t>
            </w:r>
          </w:p>
        </w:tc>
        <w:tc>
          <w:tcPr>
            <w:tcW w:w="8192" w:type="dxa"/>
            <w:tcBorders/>
            <w:vAlign w:val="center"/>
          </w:tcPr>
          <w:p>
            <w:pPr>
              <w:pStyle w:val="TableContents"/>
              <w:bidi w:val="0"/>
              <w:spacing w:before="0" w:after="283"/>
              <w:jc w:val="left"/>
              <w:rPr/>
            </w:pPr>
            <w:r>
              <w:rPr/>
              <w:t>Sec Use Only</w:t>
            </w:r>
          </w:p>
        </w:tc>
      </w:tr>
      <w:tr>
        <w:trPr/>
        <w:tc>
          <w:tcPr>
            <w:tcW w:w="2013" w:type="dxa"/>
            <w:tcBorders/>
            <w:vAlign w:val="center"/>
          </w:tcPr>
          <w:p>
            <w:pPr>
              <w:pStyle w:val="TableContents"/>
              <w:bidi w:val="0"/>
              <w:spacing w:before="0" w:after="283"/>
              <w:jc w:val="left"/>
              <w:rPr/>
            </w:pPr>
            <w:r>
              <w:rPr/>
              <w:t>4</w:t>
            </w:r>
          </w:p>
        </w:tc>
        <w:tc>
          <w:tcPr>
            <w:tcW w:w="819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663,763.00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663,763.00</w:t>
                  </w:r>
                </w:p>
              </w:tc>
            </w:tr>
          </w:tbl>
          <w:p>
            <w:pPr>
              <w:pStyle w:val="TableContents"/>
              <w:bidi w:val="0"/>
              <w:spacing w:before="0" w:after="283"/>
              <w:jc w:val="left"/>
              <w:rPr/>
            </w:pPr>
            <w:r>
              <w:rPr/>
            </w:r>
          </w:p>
        </w:tc>
        <w:tc>
          <w:tcPr>
            <w:tcW w:w="8192"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283"/>
              <w:jc w:val="left"/>
              <w:rPr/>
            </w:pPr>
            <w:r>
              <w:rPr/>
              <w:t>9</w:t>
            </w:r>
          </w:p>
        </w:tc>
        <w:tc>
          <w:tcPr>
            <w:tcW w:w="819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663,763.00</w:t>
            </w:r>
          </w:p>
        </w:tc>
      </w:tr>
      <w:tr>
        <w:trPr/>
        <w:tc>
          <w:tcPr>
            <w:tcW w:w="2013" w:type="dxa"/>
            <w:tcBorders/>
            <w:vAlign w:val="center"/>
          </w:tcPr>
          <w:p>
            <w:pPr>
              <w:pStyle w:val="TableContents"/>
              <w:bidi w:val="0"/>
              <w:spacing w:before="0" w:after="283"/>
              <w:jc w:val="left"/>
              <w:rPr/>
            </w:pPr>
            <w:r>
              <w:rPr/>
              <w:t>10</w:t>
            </w:r>
          </w:p>
        </w:tc>
        <w:tc>
          <w:tcPr>
            <w:tcW w:w="819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3" w:type="dxa"/>
            <w:tcBorders/>
            <w:vAlign w:val="center"/>
          </w:tcPr>
          <w:p>
            <w:pPr>
              <w:pStyle w:val="TableContents"/>
              <w:bidi w:val="0"/>
              <w:spacing w:before="0" w:after="283"/>
              <w:jc w:val="left"/>
              <w:rPr/>
            </w:pPr>
            <w:r>
              <w:rPr/>
              <w:t>11</w:t>
            </w:r>
          </w:p>
        </w:tc>
        <w:tc>
          <w:tcPr>
            <w:tcW w:w="819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013" w:type="dxa"/>
            <w:tcBorders/>
            <w:vAlign w:val="center"/>
          </w:tcPr>
          <w:p>
            <w:pPr>
              <w:pStyle w:val="TableContents"/>
              <w:bidi w:val="0"/>
              <w:spacing w:before="0" w:after="283"/>
              <w:jc w:val="left"/>
              <w:rPr/>
            </w:pPr>
            <w:r>
              <w:rPr/>
              <w:t>12</w:t>
            </w:r>
          </w:p>
        </w:tc>
        <w:tc>
          <w:tcPr>
            <w:tcW w:w="819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Acorn Capital Advisors GP 2,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663,763.00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663,763.00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663,763.00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Anders Hove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1,492,521.00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1,492,521.00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1,492,521.00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04"/>
        <w:gridCol w:w="8946"/>
        <w:gridCol w:w="155"/>
      </w:tblGrid>
      <w:tr>
        <w:trPr/>
        <w:tc>
          <w:tcPr>
            <w:tcW w:w="1104" w:type="dxa"/>
            <w:tcBorders/>
            <w:vAlign w:val="center"/>
          </w:tcPr>
          <w:p>
            <w:pPr>
              <w:pStyle w:val="TableContents"/>
              <w:bidi w:val="0"/>
              <w:spacing w:before="0" w:after="283"/>
              <w:jc w:val="left"/>
              <w:rPr/>
            </w:pPr>
            <w:r>
              <w:rPr/>
              <w:t>Item 1.</w:t>
            </w:r>
          </w:p>
        </w:tc>
        <w:tc>
          <w:tcPr>
            <w:tcW w:w="894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Name of issuer: </w:t>
            </w:r>
          </w:p>
          <w:p>
            <w:pPr>
              <w:pStyle w:val="TableContents"/>
              <w:bidi w:val="0"/>
              <w:spacing w:before="0" w:after="0"/>
              <w:jc w:val="left"/>
              <w:rPr/>
            </w:pPr>
            <w:r>
              <w:rPr/>
              <w:t>LeonaBio, Inc.</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18706 NORTH CREEK PARKWAY, SUITE 104, BOTHELL, WASHINGTON, 98011.</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2.</w:t>
            </w:r>
          </w:p>
        </w:tc>
        <w:tc>
          <w:tcPr>
            <w:tcW w:w="894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Acorn Bioventures, L.P. Acorn Capital Advisors GP, LLC Acorn Bioventures 2, L.P. Acorn Capital Advisors GP2, LLC Anders Hove</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420 Lexington Avenue, Suite 2626, New York, New York 10170</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jc w:val="left"/>
              <w:rPr/>
            </w:pPr>
            <w:r>
              <w:rPr/>
              <w:t xml:space="preserve">Citizenship: </w:t>
            </w:r>
          </w:p>
          <w:p>
            <w:pPr>
              <w:pStyle w:val="TableContents"/>
              <w:bidi w:val="0"/>
              <w:spacing w:before="0" w:after="0"/>
              <w:jc w:val="left"/>
              <w:rPr/>
            </w:pPr>
            <w:r>
              <w:rPr/>
              <w:t>Acorn Bioventures, L.P. and Acorn Bioventures 2, L.P. are both Delaware limited partnerships. Acorn Capital Advisors GP, LLC and Acorn Capital Advisors GP 2, LLC are both Delaware limited liability companies. Anders Hove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3.</w:t>
            </w:r>
          </w:p>
        </w:tc>
        <w:tc>
          <w:tcPr>
            <w:tcW w:w="894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(f)</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(g)</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(h)</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(j)</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(k)</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9101" w:type="dxa"/>
            <w:gridSpan w:val="2"/>
            <w:tcBorders/>
            <w:vAlign w:val="center"/>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4.</w:t>
            </w:r>
          </w:p>
        </w:tc>
        <w:tc>
          <w:tcPr>
            <w:tcW w:w="894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Reporting Person hereto and is incorporated herein by reference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percentages set forth herein are calculated based upon 9,421,663 shares of Common Stock outstanding as of August 12, 2026 as reported in the firm's 2nd Quarter 2026 Form 10Q filed on August 14, 2026.  %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Anders Hove, in his capacity as Manager of each of Acorn Capital Advisors GP, LLC and Acorn Capital Advisors GP 2, LLC, may be deemed to beneficially own the shares beneficially owned by each of Acorn Capital Advisors GP, LLC and Acorn Capital Advisors GP 2, LLC.</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5.</w:t>
            </w:r>
          </w:p>
        </w:tc>
        <w:tc>
          <w:tcPr>
            <w:tcW w:w="894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6.</w:t>
            </w:r>
          </w:p>
        </w:tc>
        <w:tc>
          <w:tcPr>
            <w:tcW w:w="894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7.</w:t>
            </w:r>
          </w:p>
        </w:tc>
        <w:tc>
          <w:tcPr>
            <w:tcW w:w="894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8.</w:t>
            </w:r>
          </w:p>
        </w:tc>
        <w:tc>
          <w:tcPr>
            <w:tcW w:w="894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9.</w:t>
            </w:r>
          </w:p>
        </w:tc>
        <w:tc>
          <w:tcPr>
            <w:tcW w:w="894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ACORN BIOVENTURES, L.P.</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Anders Hove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Manager of General Partner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ACORN CAPITAL ADVISORS GP, LLC</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Anders Hove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ACORN BIOVENTURES 2,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Anders Hove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Manager of General Partner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Acorn Capital Advisors GP 2, LLC</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Anders Hove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Anders Hove</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Anders Hove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Individually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1455</Words>
  <Characters>7462</Characters>
  <CharactersWithSpaces>8829</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