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ona-20260918.htm"/>
      <w:bookmarkStart w:id="1" w:name="kslona20260918"/>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September 18, 2026</w:t>
      </w:r>
    </w:p>
    <w:p>
      <w:pPr>
        <w:pStyle w:val="TextBody"/>
        <w:bidi w:val="0"/>
        <w:spacing w:before="160" w:after="283"/>
        <w:jc w:val="center"/>
        <w:rPr>
          <w:rFonts w:ascii="Times New Roman" w:hAnsi="Times New Roman"/>
          <w:b/>
          <w:color w:val="000000"/>
          <w:sz w:val="48"/>
        </w:rPr>
      </w:pPr>
      <w:r>
        <w:rPr>
          <w:rFonts w:ascii="Times New Roman" w:hAnsi="Times New Roman"/>
          <w:b/>
          <w:color w:val="000000"/>
          <w:sz w:val="48"/>
        </w:rPr>
        <w:t>LeonaBio,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tbl>
      <w:tblPr>
        <w:tblW w:w="4623" w:type="dxa"/>
        <w:jc w:val="left"/>
        <w:tblInd w:w="0" w:type="dxa"/>
        <w:tblLayout w:type="fixed"/>
        <w:tblCellMar>
          <w:top w:w="28" w:type="dxa"/>
          <w:left w:w="28" w:type="dxa"/>
          <w:bottom w:w="28" w:type="dxa"/>
          <w:right w:w="28" w:type="dxa"/>
        </w:tblCellMar>
      </w:tblPr>
      <w:tblGrid>
        <w:gridCol w:w="2071"/>
        <w:gridCol w:w="106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Delaware</w:t>
            </w:r>
          </w:p>
        </w:tc>
        <w:tc>
          <w:tcPr>
            <w:tcW w:w="10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001-39503</w:t>
            </w:r>
          </w:p>
        </w:tc>
        <w:tc>
          <w:tcPr>
            <w:tcW w:w="148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45-3368487</w:t>
            </w:r>
          </w:p>
        </w:tc>
      </w:tr>
      <w:tr>
        <w:trPr/>
        <w:tc>
          <w:tcPr>
            <w:tcW w:w="207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of incorporation)</w:t>
            </w:r>
          </w:p>
        </w:tc>
        <w:tc>
          <w:tcPr>
            <w:tcW w:w="106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rFonts w:ascii="Times New Roman" w:hAnsi="Times New Roman"/>
          <w:sz w:val="20"/>
        </w:rPr>
      </w:pPr>
      <w:r>
        <w:rPr>
          <w:rFonts w:ascii="Times New Roman" w:hAnsi="Times New Roman"/>
          <w:b/>
          <w:color w:val="000000"/>
          <w:sz w:val="20"/>
        </w:rPr>
        <w:t>18706 North Creek Parkway, Suite 104</w:t>
        <w:br/>
        <w:t>Bothell, WA</w:t>
      </w:r>
      <w:r>
        <w:rPr>
          <w:rFonts w:ascii="Times New Roman" w:hAnsi="Times New Roman"/>
          <w:color w:val="000000"/>
          <w:sz w:val="20"/>
        </w:rPr>
        <w:t xml:space="preserve"> </w:t>
      </w:r>
      <w:r>
        <w:rPr>
          <w:rFonts w:ascii="Times New Roman" w:hAnsi="Times New Roman"/>
          <w:b/>
          <w:color w:val="000000"/>
          <w:sz w:val="20"/>
        </w:rPr>
        <w:t>98011</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jc w:val="center"/>
        <w:rPr>
          <w:rFonts w:ascii="Times New Roman" w:hAnsi="Times New Roman"/>
          <w:b/>
          <w:color w:val="000000"/>
          <w:sz w:val="20"/>
        </w:rPr>
      </w:pPr>
      <w:r>
        <w:rPr>
          <w:rFonts w:ascii="Times New Roman" w:hAnsi="Times New Roman"/>
          <w:b/>
          <w:color w:val="000000"/>
          <w:sz w:val="20"/>
        </w:rPr>
        <w:t>(425) 620-8501</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058" w:type="dxa"/>
        <w:jc w:val="left"/>
        <w:tblInd w:w="0" w:type="dxa"/>
        <w:tblLayout w:type="fixed"/>
        <w:tblCellMar>
          <w:top w:w="28" w:type="dxa"/>
          <w:left w:w="28" w:type="dxa"/>
          <w:bottom w:w="28" w:type="dxa"/>
          <w:right w:w="28" w:type="dxa"/>
        </w:tblCellMar>
      </w:tblPr>
      <w:tblGrid>
        <w:gridCol w:w="3286"/>
        <w:gridCol w:w="145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 per share</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LONA</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The Nasdaq Stock Market LLC </w:t>
              <w:br/>
              <w:t>(The Nasdaq Capital Market)</w:t>
            </w:r>
          </w:p>
        </w:tc>
      </w:tr>
    </w:tbl>
    <w:p>
      <w:pPr>
        <w:pStyle w:val="TextBody"/>
        <w:bidi w:val="0"/>
        <w:spacing w:before="0" w:after="12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762" w:type="dxa"/>
        <w:jc w:val="left"/>
        <w:tblInd w:w="0" w:type="dxa"/>
        <w:tblLayout w:type="fixed"/>
        <w:tblCellMar>
          <w:top w:w="28" w:type="dxa"/>
          <w:left w:w="28" w:type="dxa"/>
          <w:bottom w:w="28" w:type="dxa"/>
          <w:right w:w="28" w:type="dxa"/>
        </w:tblCellMar>
      </w:tblPr>
      <w:tblGrid>
        <w:gridCol w:w="2401"/>
        <w:gridCol w:w="361"/>
      </w:tblGrid>
      <w:tr>
        <w:trPr/>
        <w:tc>
          <w:tcPr>
            <w:tcW w:w="24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jc w:val="left"/>
        <w:rPr>
          <w:rFonts w:ascii="Times New Roman" w:hAnsi="Times New Roman"/>
          <w:color w:val="000000"/>
          <w:sz w:val="20"/>
        </w:rPr>
      </w:pPr>
      <w:r>
        <w:rPr>
          <w:rFonts w:ascii="Times New Roman" w:hAnsi="Times New Roman"/>
          <w:color w:val="000000"/>
          <w:sz w:val="20"/>
        </w:rPr>
        <w:t xml:space="preserve">In December 2025, as part of a private placement, LeonaBio, Inc. (the “Company”) issued warrants to purchase an aggregate of 23,031,494 shares of its common stock (the “Series A Common Warrants”). The Series A Common Warrants have an exercise price of $6.35 per share. </w:t>
      </w:r>
    </w:p>
    <w:p>
      <w:pPr>
        <w:pStyle w:val="TextBody"/>
        <w:bidi w:val="0"/>
        <w:jc w:val="left"/>
        <w:rPr>
          <w:rFonts w:ascii="Times New Roman" w:hAnsi="Times New Roman"/>
          <w:color w:val="000000"/>
          <w:sz w:val="20"/>
        </w:rPr>
      </w:pPr>
      <w:r>
        <w:rPr>
          <w:rFonts w:ascii="Times New Roman" w:hAnsi="Times New Roman"/>
          <w:color w:val="000000"/>
          <w:sz w:val="20"/>
        </w:rPr>
        <w:t>On September 18, 2026, the Series A Common Warrants became exercisable and will remain exercisable until October 19, 2026, in accordance with the terms and conditions of the Series A Common Warrants. If exercised in full for cash, the Series A Common Warrants would provide the Company with approximately $146.2 million of additional capital.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This Current Report on Form 8-K contains “forward-looking statements” within the meaning of Section 27A of the Securities Act of 1933, as amended, Section 21E of the Securities Exchange Act of 1934, as amended, and the Private Securities Litigation Reform Act of 1995, including statements regarding the amount of proceeds, if any, the Company may receive upon exercise of the Series A Common Warrants. These forward-looking statements are based on the Company’s current expectations and are subject to a number of risks and uncertainties that could cause actual results to differ materially and adversely, including that some or all of the Series A Common Warrants may expire unexercised, or may be exercised on a cashless net exercise basis in the event our resale registration statement registering the resale of the shares of common stock issuable upon exercise of the Series A Common Warrants is not then effective, providing less or no cash proceeds to the Company; and the other risks described under the heading “Risk Factors” in the Company’s Annual Report on Form 10-K and subsequent Quarterly Reports on Form 10-Q and other filings with the Securities and Exchange Commission. These forward-looking statements speak only as of the date hereof, and the Company undertakes no obligation to update any forward-looking statements, except as required by law.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899" w:type="dxa"/>
        <w:jc w:val="left"/>
        <w:tblInd w:w="0" w:type="dxa"/>
        <w:tblLayout w:type="fixed"/>
        <w:tblCellMar>
          <w:top w:w="28" w:type="dxa"/>
          <w:left w:w="28" w:type="dxa"/>
          <w:bottom w:w="28" w:type="dxa"/>
          <w:right w:w="28" w:type="dxa"/>
        </w:tblCellMar>
      </w:tblPr>
      <w:tblGrid>
        <w:gridCol w:w="556"/>
        <w:gridCol w:w="1726"/>
        <w:gridCol w:w="406"/>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LeonaBio,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September 22,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Litton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Litton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680</Words>
  <Characters>3696</Characters>
  <CharactersWithSpaces>4326</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