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173990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60" w:lineRule="exact"/>
        <w:rPr>
          <w:sz w:val="24"/>
          <w:szCs w:val="24"/>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35"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2021</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6" w:lineRule="exact"/>
        <w:rPr>
          <w:sz w:val="24"/>
          <w:szCs w:val="24"/>
          <w:color w:val="auto"/>
        </w:rPr>
      </w:pPr>
    </w:p>
    <w:p>
      <w:pPr>
        <w:ind w:left="400" w:hanging="350"/>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6"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For the transition period from ____ to ____</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104140</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Athira Pharma,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81280</wp:posOffset>
            </wp:positionV>
            <wp:extent cx="1426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46" w:lineRule="exact"/>
        <w:rPr>
          <w:sz w:val="24"/>
          <w:szCs w:val="24"/>
          <w:color w:val="auto"/>
        </w:rPr>
      </w:pPr>
    </w:p>
    <w:tbl>
      <w:tblPr>
        <w:tblLayout w:type="fixed"/>
        <w:tblInd w:w="480" w:type="dxa"/>
        <w:tblCellMar>
          <w:top w:w="0" w:type="dxa"/>
          <w:left w:w="0" w:type="dxa"/>
          <w:bottom w:w="0" w:type="dxa"/>
          <w:right w:w="0" w:type="dxa"/>
        </w:tblCellMar>
      </w:tblPr>
      <w:tr>
        <w:trPr>
          <w:trHeight w:val="235"/>
        </w:trPr>
        <w:tc>
          <w:tcPr>
            <w:tcW w:w="3680" w:type="dxa"/>
            <w:vAlign w:val="bottom"/>
          </w:tcPr>
          <w:p>
            <w:pPr>
              <w:jc w:val="center"/>
              <w:ind w:left="940"/>
              <w:spacing w:after="0"/>
              <w:rPr>
                <w:sz w:val="20"/>
                <w:szCs w:val="20"/>
                <w:color w:val="auto"/>
              </w:rPr>
            </w:pPr>
            <w:r>
              <w:rPr>
                <w:rFonts w:ascii="Arial" w:cs="Arial" w:eastAsia="Arial" w:hAnsi="Arial"/>
                <w:sz w:val="18"/>
                <w:szCs w:val="18"/>
                <w:b w:val="1"/>
                <w:bCs w:val="1"/>
                <w:color w:val="auto"/>
                <w:w w:val="98"/>
              </w:rPr>
              <w:t>Delaware</w:t>
            </w: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40" w:type="dxa"/>
            <w:vAlign w:val="bottom"/>
          </w:tcPr>
          <w:p>
            <w:pPr>
              <w:jc w:val="center"/>
              <w:ind w:right="1020"/>
              <w:spacing w:after="0"/>
              <w:rPr>
                <w:sz w:val="20"/>
                <w:szCs w:val="20"/>
                <w:color w:val="auto"/>
              </w:rPr>
            </w:pPr>
            <w:r>
              <w:rPr>
                <w:rFonts w:ascii="Arial" w:cs="Arial" w:eastAsia="Arial" w:hAnsi="Arial"/>
                <w:sz w:val="18"/>
                <w:szCs w:val="18"/>
                <w:b w:val="1"/>
                <w:bCs w:val="1"/>
                <w:color w:val="auto"/>
                <w:w w:val="97"/>
              </w:rPr>
              <w:t>45-3368487</w:t>
            </w:r>
          </w:p>
        </w:tc>
      </w:tr>
      <w:tr>
        <w:trPr>
          <w:trHeight w:val="189"/>
        </w:trPr>
        <w:tc>
          <w:tcPr>
            <w:tcW w:w="3680" w:type="dxa"/>
            <w:vAlign w:val="bottom"/>
          </w:tcPr>
          <w:p>
            <w:pPr>
              <w:jc w:val="center"/>
              <w:ind w:left="920"/>
              <w:spacing w:after="0"/>
              <w:rPr>
                <w:sz w:val="20"/>
                <w:szCs w:val="20"/>
                <w:color w:val="auto"/>
              </w:rPr>
            </w:pPr>
            <w:r>
              <w:rPr>
                <w:rFonts w:ascii="Arial" w:cs="Arial" w:eastAsia="Arial" w:hAnsi="Arial"/>
                <w:sz w:val="14"/>
                <w:szCs w:val="14"/>
                <w:b w:val="1"/>
                <w:bCs w:val="1"/>
                <w:color w:val="auto"/>
              </w:rPr>
              <w:t>(State or other jurisdiction of</w:t>
            </w:r>
          </w:p>
        </w:tc>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40" w:type="dxa"/>
            <w:vAlign w:val="bottom"/>
          </w:tcPr>
          <w:p>
            <w:pPr>
              <w:jc w:val="center"/>
              <w:ind w:right="1020"/>
              <w:spacing w:after="0"/>
              <w:rPr>
                <w:sz w:val="20"/>
                <w:szCs w:val="20"/>
                <w:color w:val="auto"/>
              </w:rPr>
            </w:pPr>
            <w:r>
              <w:rPr>
                <w:rFonts w:ascii="Arial" w:cs="Arial" w:eastAsia="Arial" w:hAnsi="Arial"/>
                <w:sz w:val="14"/>
                <w:szCs w:val="14"/>
                <w:b w:val="1"/>
                <w:bCs w:val="1"/>
                <w:color w:val="auto"/>
              </w:rPr>
              <w:t>(I.R.S. Employer</w:t>
            </w:r>
          </w:p>
        </w:tc>
      </w:tr>
      <w:tr>
        <w:trPr>
          <w:trHeight w:val="189"/>
        </w:trPr>
        <w:tc>
          <w:tcPr>
            <w:tcW w:w="3680" w:type="dxa"/>
            <w:vAlign w:val="bottom"/>
          </w:tcPr>
          <w:p>
            <w:pPr>
              <w:jc w:val="center"/>
              <w:ind w:left="920"/>
              <w:spacing w:after="0"/>
              <w:rPr>
                <w:sz w:val="20"/>
                <w:szCs w:val="20"/>
                <w:color w:val="auto"/>
              </w:rPr>
            </w:pPr>
            <w:r>
              <w:rPr>
                <w:rFonts w:ascii="Arial" w:cs="Arial" w:eastAsia="Arial" w:hAnsi="Arial"/>
                <w:sz w:val="14"/>
                <w:szCs w:val="14"/>
                <w:b w:val="1"/>
                <w:bCs w:val="1"/>
                <w:color w:val="auto"/>
              </w:rPr>
              <w:t>incorporation or organization)</w:t>
            </w:r>
          </w:p>
        </w:tc>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40" w:type="dxa"/>
            <w:vAlign w:val="bottom"/>
          </w:tcPr>
          <w:p>
            <w:pPr>
              <w:jc w:val="center"/>
              <w:ind w:right="1040"/>
              <w:spacing w:after="0"/>
              <w:rPr>
                <w:sz w:val="20"/>
                <w:szCs w:val="20"/>
                <w:color w:val="auto"/>
              </w:rPr>
            </w:pPr>
            <w:r>
              <w:rPr>
                <w:rFonts w:ascii="Arial" w:cs="Arial" w:eastAsia="Arial" w:hAnsi="Arial"/>
                <w:sz w:val="14"/>
                <w:szCs w:val="14"/>
                <w:b w:val="1"/>
                <w:bCs w:val="1"/>
                <w:color w:val="auto"/>
              </w:rPr>
              <w:t>Identification No.)</w:t>
            </w:r>
          </w:p>
        </w:tc>
      </w:tr>
      <w:tr>
        <w:trPr>
          <w:trHeight w:val="310"/>
        </w:trPr>
        <w:tc>
          <w:tcPr>
            <w:tcW w:w="6980" w:type="dxa"/>
            <w:vAlign w:val="bottom"/>
            <w:gridSpan w:val="4"/>
          </w:tcPr>
          <w:p>
            <w:pPr>
              <w:jc w:val="center"/>
              <w:ind w:left="3220"/>
              <w:spacing w:after="0"/>
              <w:rPr>
                <w:sz w:val="20"/>
                <w:szCs w:val="20"/>
                <w:color w:val="auto"/>
              </w:rPr>
            </w:pPr>
            <w:r>
              <w:rPr>
                <w:rFonts w:ascii="Arial" w:cs="Arial" w:eastAsia="Arial" w:hAnsi="Arial"/>
                <w:sz w:val="18"/>
                <w:szCs w:val="18"/>
                <w:b w:val="1"/>
                <w:bCs w:val="1"/>
                <w:color w:val="auto"/>
                <w:w w:val="98"/>
              </w:rPr>
              <w:t>18706 North Creek Parkway, Suite 104</w:t>
            </w:r>
          </w:p>
        </w:tc>
        <w:tc>
          <w:tcPr>
            <w:tcW w:w="3040" w:type="dxa"/>
            <w:vAlign w:val="bottom"/>
          </w:tcPr>
          <w:p>
            <w:pPr>
              <w:spacing w:after="0"/>
              <w:rPr>
                <w:sz w:val="24"/>
                <w:szCs w:val="24"/>
                <w:color w:val="auto"/>
              </w:rPr>
            </w:pPr>
          </w:p>
        </w:tc>
      </w:tr>
      <w:tr>
        <w:trPr>
          <w:trHeight w:val="210"/>
        </w:trPr>
        <w:tc>
          <w:tcPr>
            <w:tcW w:w="3680" w:type="dxa"/>
            <w:vAlign w:val="bottom"/>
          </w:tcPr>
          <w:p>
            <w:pPr>
              <w:spacing w:after="0"/>
              <w:rPr>
                <w:sz w:val="18"/>
                <w:szCs w:val="18"/>
                <w:color w:val="auto"/>
              </w:rPr>
            </w:pPr>
          </w:p>
        </w:tc>
        <w:tc>
          <w:tcPr>
            <w:tcW w:w="33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8"/>
              </w:rPr>
              <w:t>Bothell, Washington 98011</w:t>
            </w:r>
          </w:p>
        </w:tc>
        <w:tc>
          <w:tcPr>
            <w:tcW w:w="3040" w:type="dxa"/>
            <w:vAlign w:val="bottom"/>
          </w:tcPr>
          <w:p>
            <w:pPr>
              <w:spacing w:after="0"/>
              <w:rPr>
                <w:sz w:val="18"/>
                <w:szCs w:val="18"/>
                <w:color w:val="auto"/>
              </w:rPr>
            </w:pPr>
          </w:p>
        </w:tc>
      </w:tr>
      <w:tr>
        <w:trPr>
          <w:trHeight w:val="151"/>
        </w:trPr>
        <w:tc>
          <w:tcPr>
            <w:tcW w:w="3680" w:type="dxa"/>
            <w:vAlign w:val="bottom"/>
          </w:tcPr>
          <w:p>
            <w:pPr>
              <w:spacing w:after="0"/>
              <w:rPr>
                <w:sz w:val="13"/>
                <w:szCs w:val="13"/>
                <w:color w:val="auto"/>
              </w:rPr>
            </w:pPr>
          </w:p>
        </w:tc>
        <w:tc>
          <w:tcPr>
            <w:tcW w:w="3300" w:type="dxa"/>
            <w:vAlign w:val="bottom"/>
            <w:gridSpan w:val="3"/>
          </w:tcPr>
          <w:p>
            <w:pPr>
              <w:jc w:val="center"/>
              <w:ind w:right="360"/>
              <w:spacing w:after="0" w:line="151" w:lineRule="exact"/>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spacing w:after="0"/>
              <w:rPr>
                <w:sz w:val="13"/>
                <w:szCs w:val="13"/>
                <w:color w:val="auto"/>
              </w:rPr>
            </w:pPr>
          </w:p>
        </w:tc>
      </w:tr>
      <w:tr>
        <w:trPr>
          <w:trHeight w:val="210"/>
        </w:trPr>
        <w:tc>
          <w:tcPr>
            <w:tcW w:w="3680" w:type="dxa"/>
            <w:vAlign w:val="bottom"/>
          </w:tcPr>
          <w:p>
            <w:pPr>
              <w:spacing w:after="0"/>
              <w:rPr>
                <w:sz w:val="18"/>
                <w:szCs w:val="18"/>
                <w:color w:val="auto"/>
              </w:rPr>
            </w:pPr>
          </w:p>
        </w:tc>
        <w:tc>
          <w:tcPr>
            <w:tcW w:w="2580" w:type="dxa"/>
            <w:vAlign w:val="bottom"/>
            <w:gridSpan w:val="2"/>
          </w:tcPr>
          <w:p>
            <w:pPr>
              <w:jc w:val="center"/>
              <w:ind w:left="277"/>
              <w:spacing w:after="0"/>
              <w:rPr>
                <w:sz w:val="20"/>
                <w:szCs w:val="20"/>
                <w:color w:val="auto"/>
              </w:rPr>
            </w:pPr>
            <w:r>
              <w:rPr>
                <w:rFonts w:ascii="Arial" w:cs="Arial" w:eastAsia="Arial" w:hAnsi="Arial"/>
                <w:sz w:val="18"/>
                <w:szCs w:val="18"/>
                <w:b w:val="1"/>
                <w:bCs w:val="1"/>
                <w:color w:val="auto"/>
                <w:w w:val="99"/>
              </w:rPr>
              <w:t>(425) 620-8501</w:t>
            </w:r>
          </w:p>
        </w:tc>
        <w:tc>
          <w:tcPr>
            <w:tcW w:w="72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89"/>
        </w:trPr>
        <w:tc>
          <w:tcPr>
            <w:tcW w:w="6980" w:type="dxa"/>
            <w:vAlign w:val="bottom"/>
            <w:gridSpan w:val="4"/>
          </w:tcPr>
          <w:p>
            <w:pPr>
              <w:jc w:val="center"/>
              <w:ind w:left="322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040" w:type="dxa"/>
            <w:vAlign w:val="bottom"/>
          </w:tcPr>
          <w:p>
            <w:pPr>
              <w:spacing w:after="0"/>
              <w:rPr>
                <w:sz w:val="16"/>
                <w:szCs w:val="16"/>
                <w:color w:val="auto"/>
              </w:rPr>
            </w:pPr>
          </w:p>
        </w:tc>
      </w:tr>
      <w:tr>
        <w:trPr>
          <w:trHeight w:val="118"/>
        </w:trPr>
        <w:tc>
          <w:tcPr>
            <w:tcW w:w="4020" w:type="dxa"/>
            <w:vAlign w:val="bottom"/>
            <w:gridSpan w:val="2"/>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3760" w:type="dxa"/>
            <w:vAlign w:val="bottom"/>
            <w:gridSpan w:val="2"/>
          </w:tcPr>
          <w:p>
            <w:pPr>
              <w:spacing w:after="0"/>
              <w:rPr>
                <w:sz w:val="10"/>
                <w:szCs w:val="10"/>
                <w:color w:val="auto"/>
              </w:rPr>
            </w:pPr>
          </w:p>
        </w:tc>
      </w:tr>
      <w:tr>
        <w:trPr>
          <w:trHeight w:val="313"/>
        </w:trPr>
        <w:tc>
          <w:tcPr>
            <w:tcW w:w="10020" w:type="dxa"/>
            <w:vAlign w:val="bottom"/>
            <w:gridSpan w:val="5"/>
          </w:tcPr>
          <w:p>
            <w:pPr>
              <w:jc w:val="center"/>
              <w:ind w:left="180"/>
              <w:spacing w:after="0"/>
              <w:rPr>
                <w:sz w:val="20"/>
                <w:szCs w:val="20"/>
                <w:color w:val="auto"/>
              </w:rPr>
            </w:pPr>
            <w:r>
              <w:rPr>
                <w:rFonts w:ascii="Arial" w:cs="Arial" w:eastAsia="Arial" w:hAnsi="Arial"/>
                <w:sz w:val="18"/>
                <w:szCs w:val="18"/>
                <w:color w:val="auto"/>
                <w:w w:val="98"/>
              </w:rPr>
              <w:t>Securities registered pursuant to Section 12(b) of the Act:</w:t>
            </w:r>
          </w:p>
        </w:tc>
      </w:tr>
      <w:tr>
        <w:trPr>
          <w:trHeight w:val="311"/>
        </w:trPr>
        <w:tc>
          <w:tcPr>
            <w:tcW w:w="3680" w:type="dxa"/>
            <w:vAlign w:val="bottom"/>
          </w:tcPr>
          <w:p>
            <w:pPr>
              <w:jc w:val="center"/>
              <w:ind w:right="60"/>
              <w:spacing w:after="0"/>
              <w:rPr>
                <w:sz w:val="20"/>
                <w:szCs w:val="20"/>
                <w:color w:val="auto"/>
              </w:rPr>
            </w:pPr>
            <w:r>
              <w:rPr>
                <w:rFonts w:ascii="Arial" w:cs="Arial" w:eastAsia="Arial" w:hAnsi="Arial"/>
                <w:sz w:val="14"/>
                <w:szCs w:val="14"/>
                <w:b w:val="1"/>
                <w:bCs w:val="1"/>
                <w:color w:val="auto"/>
              </w:rPr>
              <w:t>Title of each class</w:t>
            </w:r>
          </w:p>
        </w:tc>
        <w:tc>
          <w:tcPr>
            <w:tcW w:w="340" w:type="dxa"/>
            <w:vAlign w:val="bottom"/>
          </w:tcPr>
          <w:p>
            <w:pPr>
              <w:spacing w:after="0"/>
              <w:rPr>
                <w:sz w:val="24"/>
                <w:szCs w:val="24"/>
                <w:color w:val="auto"/>
              </w:rPr>
            </w:pPr>
          </w:p>
        </w:tc>
        <w:tc>
          <w:tcPr>
            <w:tcW w:w="29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Trading Symbol(s)</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1"/>
        </w:trPr>
        <w:tc>
          <w:tcPr>
            <w:tcW w:w="3680" w:type="dxa"/>
            <w:vAlign w:val="bottom"/>
          </w:tcPr>
          <w:p>
            <w:pPr>
              <w:jc w:val="center"/>
              <w:ind w:right="60"/>
              <w:spacing w:after="0"/>
              <w:rPr>
                <w:sz w:val="20"/>
                <w:szCs w:val="20"/>
                <w:color w:val="auto"/>
              </w:rPr>
            </w:pPr>
            <w:r>
              <w:rPr>
                <w:rFonts w:ascii="Arial" w:cs="Arial" w:eastAsia="Arial" w:hAnsi="Arial"/>
                <w:sz w:val="18"/>
                <w:szCs w:val="18"/>
                <w:color w:val="auto"/>
                <w:w w:val="98"/>
              </w:rPr>
              <w:t>Common Stock, $0.0001 par value per share</w:t>
            </w:r>
          </w:p>
        </w:tc>
        <w:tc>
          <w:tcPr>
            <w:tcW w:w="340" w:type="dxa"/>
            <w:vAlign w:val="bottom"/>
          </w:tcPr>
          <w:p>
            <w:pPr>
              <w:spacing w:after="0"/>
              <w:rPr>
                <w:sz w:val="21"/>
                <w:szCs w:val="21"/>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8"/>
                <w:szCs w:val="18"/>
                <w:color w:val="auto"/>
                <w:w w:val="95"/>
              </w:rPr>
              <w:t>ATHA</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54"/>
        </w:trPr>
        <w:tc>
          <w:tcPr>
            <w:tcW w:w="3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29" w:lineRule="exact"/>
        <w:rPr>
          <w:sz w:val="24"/>
          <w:szCs w:val="24"/>
          <w:color w:val="auto"/>
        </w:rPr>
      </w:pPr>
    </w:p>
    <w:p>
      <w:pPr>
        <w:ind w:right="60" w:firstLine="514"/>
        <w:spacing w:after="0" w:line="19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91" w:lineRule="exact"/>
        <w:rPr>
          <w:sz w:val="24"/>
          <w:szCs w:val="24"/>
          <w:color w:val="auto"/>
        </w:rPr>
      </w:pPr>
    </w:p>
    <w:p>
      <w:pPr>
        <w:ind w:firstLine="514"/>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6"/>
          <w:szCs w:val="16"/>
          <w:color w:val="auto"/>
        </w:rPr>
        <w:t xml:space="preserve"> No </w:t>
      </w:r>
      <w:r>
        <w:rPr>
          <w:rFonts w:ascii="MS PGothic" w:cs="MS PGothic" w:eastAsia="MS PGothic" w:hAnsi="MS PGothic"/>
          <w:sz w:val="15"/>
          <w:szCs w:val="15"/>
          <w:color w:val="auto"/>
        </w:rPr>
        <w:t>☐</w:t>
      </w:r>
    </w:p>
    <w:p>
      <w:pPr>
        <w:spacing w:after="0" w:line="89" w:lineRule="exact"/>
        <w:rPr>
          <w:sz w:val="24"/>
          <w:szCs w:val="24"/>
          <w:color w:val="auto"/>
        </w:rPr>
      </w:pPr>
    </w:p>
    <w:p>
      <w:pPr>
        <w:ind w:right="560" w:firstLine="514"/>
        <w:spacing w:after="0" w:line="23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64"/>
        </w:trPr>
        <w:tc>
          <w:tcPr>
            <w:tcW w:w="35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880" w:type="dxa"/>
            <w:vAlign w:val="bottom"/>
          </w:tcPr>
          <w:p>
            <w:pPr>
              <w:ind w:left="1520"/>
              <w:spacing w:after="0" w:line="171" w:lineRule="exact"/>
              <w:rPr>
                <w:sz w:val="20"/>
                <w:szCs w:val="20"/>
                <w:color w:val="auto"/>
              </w:rPr>
            </w:pPr>
            <w:r>
              <w:rPr>
                <w:rFonts w:ascii="MS PGothic" w:cs="MS PGothic" w:eastAsia="MS PGothic" w:hAnsi="MS PGothic"/>
                <w:sz w:val="17"/>
                <w:szCs w:val="17"/>
                <w:color w:val="auto"/>
              </w:rPr>
              <w:t>☐</w:t>
            </w:r>
          </w:p>
        </w:tc>
        <w:tc>
          <w:tcPr>
            <w:tcW w:w="3920" w:type="dxa"/>
            <w:vAlign w:val="bottom"/>
          </w:tcPr>
          <w:p>
            <w:pPr>
              <w:ind w:left="200"/>
              <w:spacing w:after="0"/>
              <w:rPr>
                <w:sz w:val="20"/>
                <w:szCs w:val="20"/>
                <w:color w:val="auto"/>
              </w:rPr>
            </w:pPr>
            <w:r>
              <w:rPr>
                <w:rFonts w:ascii="Arial" w:cs="Arial" w:eastAsia="Arial" w:hAnsi="Arial"/>
                <w:sz w:val="17"/>
                <w:szCs w:val="17"/>
                <w:color w:val="auto"/>
              </w:rPr>
              <w:t>Accelerated filer</w:t>
            </w:r>
          </w:p>
        </w:tc>
        <w:tc>
          <w:tcPr>
            <w:tcW w:w="1860" w:type="dxa"/>
            <w:vAlign w:val="bottom"/>
          </w:tcPr>
          <w:p>
            <w:pPr>
              <w:jc w:val="right"/>
              <w:spacing w:after="0" w:line="171" w:lineRule="exact"/>
              <w:rPr>
                <w:sz w:val="20"/>
                <w:szCs w:val="20"/>
                <w:color w:val="auto"/>
              </w:rPr>
            </w:pPr>
            <w:r>
              <w:rPr>
                <w:rFonts w:ascii="MS PGothic" w:cs="MS PGothic" w:eastAsia="MS PGothic" w:hAnsi="MS PGothic"/>
                <w:sz w:val="17"/>
                <w:szCs w:val="17"/>
                <w:color w:val="auto"/>
              </w:rPr>
              <w:t>☐</w:t>
            </w:r>
          </w:p>
        </w:tc>
      </w:tr>
      <w:tr>
        <w:trPr>
          <w:trHeight w:val="253"/>
        </w:trPr>
        <w:tc>
          <w:tcPr>
            <w:tcW w:w="3540" w:type="dxa"/>
            <w:vAlign w:val="bottom"/>
          </w:tcPr>
          <w:p>
            <w:pPr>
              <w:spacing w:after="0"/>
              <w:rPr>
                <w:sz w:val="20"/>
                <w:szCs w:val="20"/>
                <w:color w:val="auto"/>
              </w:rPr>
            </w:pPr>
            <w:r>
              <w:rPr>
                <w:rFonts w:ascii="Arial" w:cs="Arial" w:eastAsia="Arial" w:hAnsi="Arial"/>
                <w:sz w:val="17"/>
                <w:szCs w:val="17"/>
                <w:color w:val="auto"/>
              </w:rPr>
              <w:t>Non-accelerated filer</w:t>
            </w:r>
          </w:p>
        </w:tc>
        <w:tc>
          <w:tcPr>
            <w:tcW w:w="188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rPr>
              <w:t>☒</w:t>
            </w:r>
          </w:p>
        </w:tc>
        <w:tc>
          <w:tcPr>
            <w:tcW w:w="3920" w:type="dxa"/>
            <w:vAlign w:val="bottom"/>
          </w:tcPr>
          <w:p>
            <w:pPr>
              <w:ind w:left="200"/>
              <w:spacing w:after="0"/>
              <w:rPr>
                <w:sz w:val="20"/>
                <w:szCs w:val="20"/>
                <w:color w:val="auto"/>
              </w:rPr>
            </w:pPr>
            <w:r>
              <w:rPr>
                <w:rFonts w:ascii="Arial" w:cs="Arial" w:eastAsia="Arial" w:hAnsi="Arial"/>
                <w:sz w:val="17"/>
                <w:szCs w:val="17"/>
                <w:color w:val="auto"/>
              </w:rPr>
              <w:t>Smaller reporting company</w:t>
            </w:r>
          </w:p>
        </w:tc>
        <w:tc>
          <w:tcPr>
            <w:tcW w:w="186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354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88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rPr>
              <w:t>☒</w:t>
            </w:r>
          </w:p>
        </w:tc>
        <w:tc>
          <w:tcPr>
            <w:tcW w:w="3920" w:type="dxa"/>
            <w:vAlign w:val="bottom"/>
          </w:tcPr>
          <w:p>
            <w:pPr>
              <w:spacing w:after="0"/>
              <w:rPr>
                <w:sz w:val="22"/>
                <w:szCs w:val="22"/>
                <w:color w:val="auto"/>
              </w:rPr>
            </w:pPr>
          </w:p>
        </w:tc>
        <w:tc>
          <w:tcPr>
            <w:tcW w:w="1860" w:type="dxa"/>
            <w:vAlign w:val="bottom"/>
          </w:tcPr>
          <w:p>
            <w:pPr>
              <w:spacing w:after="0"/>
              <w:rPr>
                <w:sz w:val="22"/>
                <w:szCs w:val="22"/>
                <w:color w:val="auto"/>
              </w:rPr>
            </w:pPr>
          </w:p>
        </w:tc>
      </w:tr>
    </w:tbl>
    <w:p>
      <w:pPr>
        <w:spacing w:after="0" w:line="128" w:lineRule="exact"/>
        <w:rPr>
          <w:sz w:val="24"/>
          <w:szCs w:val="24"/>
          <w:color w:val="auto"/>
        </w:rPr>
      </w:pPr>
    </w:p>
    <w:p>
      <w:pPr>
        <w:ind w:right="340" w:firstLine="514"/>
        <w:spacing w:after="0" w:line="20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154"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August 9, 2021 there were 37,295,936 shares of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183515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1"/>
        </w:trPr>
        <w:tc>
          <w:tcPr>
            <w:tcW w:w="1140" w:type="dxa"/>
            <w:vAlign w:val="bottom"/>
            <w:gridSpan w:val="2"/>
            <w:vMerge w:val="continue"/>
          </w:tcPr>
          <w:p>
            <w:pPr>
              <w:spacing w:after="0"/>
              <w:rPr>
                <w:sz w:val="15"/>
                <w:szCs w:val="15"/>
                <w:color w:val="auto"/>
              </w:rPr>
            </w:pPr>
          </w:p>
        </w:tc>
        <w:tc>
          <w:tcPr>
            <w:tcW w:w="2220" w:type="dxa"/>
            <w:vAlign w:val="bottom"/>
            <w:tcBorders>
              <w:bottom w:val="single" w:sz="8" w:color="0000EE"/>
            </w:tcBorders>
            <w:gridSpan w:val="7"/>
          </w:tcPr>
          <w:p>
            <w:pPr>
              <w:spacing w:after="0" w:line="181"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FINANCIAL INFORMATION</w:t>
              </w:r>
            </w:hyperlink>
          </w:p>
        </w:tc>
        <w:tc>
          <w:tcPr>
            <w:tcW w:w="7100" w:type="dxa"/>
            <w:vAlign w:val="bottom"/>
            <w:gridSpan w:val="11"/>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color w:val="auto"/>
              </w:rPr>
              <w:t>Item 1.</w:t>
            </w:r>
          </w:p>
        </w:tc>
        <w:tc>
          <w:tcPr>
            <w:tcW w:w="9320" w:type="dxa"/>
            <w:vAlign w:val="bottom"/>
            <w:gridSpan w:val="18"/>
          </w:tcPr>
          <w:p>
            <w:pPr>
              <w:spacing w:after="0" w:line="194"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320" w:type="dxa"/>
            <w:vAlign w:val="bottom"/>
            <w:gridSpan w:val="18"/>
          </w:tcPr>
          <w:p>
            <w:pPr>
              <w:spacing w:after="0" w:line="194"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320" w:type="dxa"/>
            <w:vAlign w:val="bottom"/>
            <w:gridSpan w:val="18"/>
          </w:tcPr>
          <w:p>
            <w:pPr>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and Comprehensive Loss</w:t>
              </w:r>
            </w:hyperlink>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320" w:type="dxa"/>
            <w:vAlign w:val="bottom"/>
            <w:gridSpan w:val="18"/>
          </w:tcPr>
          <w:p>
            <w:pPr>
              <w:spacing w:after="0" w:line="181"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Convertible Preferred Stock and Stockholders’ Equity</w:t>
              </w:r>
            </w:hyperlink>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7"/>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Condensed Consolidated Statements of Cash Flows</w:t>
              </w:r>
            </w:hyperlink>
          </w:p>
        </w:tc>
        <w:tc>
          <w:tcPr>
            <w:tcW w:w="3260" w:type="dxa"/>
            <w:vAlign w:val="bottom"/>
            <w:tcBorders>
              <w:top w:val="single" w:sz="8" w:color="0000EE"/>
            </w:tcBorders>
            <w:gridSpan w:val="6"/>
          </w:tcPr>
          <w:p>
            <w:pPr>
              <w:spacing w:after="0"/>
              <w:rPr>
                <w:sz w:val="18"/>
                <w:szCs w:val="18"/>
                <w:color w:val="auto"/>
              </w:rPr>
            </w:pPr>
          </w:p>
        </w:tc>
        <w:tc>
          <w:tcPr>
            <w:tcW w:w="1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Borders>
              <w:bottom w:val="single" w:sz="8" w:color="0000EE"/>
            </w:tcBorders>
            <w:gridSpan w:val="14"/>
          </w:tcPr>
          <w:p>
            <w:pPr>
              <w:spacing w:after="0" w:line="194"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Notes to Unaudited Condensed Consolidated Financial Statements</w:t>
              </w:r>
            </w:hyperlink>
          </w:p>
        </w:tc>
        <w:tc>
          <w:tcPr>
            <w:tcW w:w="4020" w:type="dxa"/>
            <w:vAlign w:val="bottom"/>
            <w:gridSpan w:val="4"/>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color w:val="auto"/>
              </w:rPr>
              <w:t>Item 2.</w:t>
            </w:r>
          </w:p>
        </w:tc>
        <w:tc>
          <w:tcPr>
            <w:tcW w:w="7020" w:type="dxa"/>
            <w:vAlign w:val="bottom"/>
            <w:tcBorders>
              <w:bottom w:val="single" w:sz="8" w:color="0000EE"/>
            </w:tcBorders>
            <w:gridSpan w:val="16"/>
          </w:tcPr>
          <w:p>
            <w:pPr>
              <w:spacing w:after="0" w:line="194" w:lineRule="exact"/>
              <w:rPr>
                <w:rFonts w:ascii="Arial" w:cs="Arial" w:eastAsia="Arial" w:hAnsi="Arial"/>
                <w:sz w:val="18"/>
                <w:szCs w:val="18"/>
                <w:color w:val="0000EE"/>
                <w:w w:val="98"/>
              </w:rPr>
            </w:pPr>
            <w:hyperlink w:anchor="page23">
              <w:r>
                <w:rPr>
                  <w:rFonts w:ascii="Arial" w:cs="Arial" w:eastAsia="Arial" w:hAnsi="Arial"/>
                  <w:sz w:val="18"/>
                  <w:szCs w:val="18"/>
                  <w:color w:val="0000EE"/>
                  <w:w w:val="98"/>
                </w:rPr>
                <w:t>Management’s Discussion and Analysis of Financial Condition and Results of Operations</w:t>
              </w:r>
            </w:hyperlink>
          </w:p>
        </w:tc>
        <w:tc>
          <w:tcPr>
            <w:tcW w:w="2300" w:type="dxa"/>
            <w:vAlign w:val="bottom"/>
            <w:gridSpan w:val="2"/>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color w:val="auto"/>
              </w:rPr>
              <w:t>Item 3.</w:t>
            </w:r>
          </w:p>
        </w:tc>
        <w:tc>
          <w:tcPr>
            <w:tcW w:w="9320" w:type="dxa"/>
            <w:vAlign w:val="bottom"/>
            <w:gridSpan w:val="18"/>
          </w:tcPr>
          <w:p>
            <w:pPr>
              <w:spacing w:after="0" w:line="194"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color w:val="auto"/>
              </w:rPr>
              <w:t>Item 4.</w:t>
            </w:r>
          </w:p>
        </w:tc>
        <w:tc>
          <w:tcPr>
            <w:tcW w:w="1980" w:type="dxa"/>
            <w:vAlign w:val="bottom"/>
            <w:tcBorders>
              <w:top w:val="single" w:sz="8" w:color="0000EE"/>
              <w:bottom w:val="single" w:sz="8" w:color="0000EE"/>
            </w:tcBorders>
            <w:gridSpan w:val="6"/>
          </w:tcPr>
          <w:p>
            <w:pPr>
              <w:spacing w:after="0" w:line="194"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Controls and Procedures</w:t>
              </w:r>
            </w:hyperlink>
          </w:p>
        </w:tc>
        <w:tc>
          <w:tcPr>
            <w:tcW w:w="2680" w:type="dxa"/>
            <w:vAlign w:val="bottom"/>
            <w:tcBorders>
              <w:top w:val="single" w:sz="8" w:color="0000EE"/>
            </w:tcBorders>
            <w:gridSpan w:val="6"/>
          </w:tcPr>
          <w:p>
            <w:pPr>
              <w:spacing w:after="0"/>
              <w:rPr>
                <w:sz w:val="16"/>
                <w:szCs w:val="16"/>
                <w:color w:val="auto"/>
              </w:rPr>
            </w:pPr>
          </w:p>
        </w:tc>
        <w:tc>
          <w:tcPr>
            <w:tcW w:w="4660" w:type="dxa"/>
            <w:vAlign w:val="bottom"/>
            <w:gridSpan w:val="6"/>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PART II.</w:t>
            </w:r>
          </w:p>
        </w:tc>
        <w:tc>
          <w:tcPr>
            <w:tcW w:w="1920" w:type="dxa"/>
            <w:vAlign w:val="bottom"/>
            <w:tcBorders>
              <w:bottom w:val="single" w:sz="8" w:color="0000EE"/>
            </w:tcBorders>
            <w:gridSpan w:val="5"/>
          </w:tcPr>
          <w:p>
            <w:pPr>
              <w:spacing w:after="0" w:line="194"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OTHER INFORMATION</w:t>
              </w:r>
            </w:hyperlink>
          </w:p>
        </w:tc>
        <w:tc>
          <w:tcPr>
            <w:tcW w:w="7400" w:type="dxa"/>
            <w:vAlign w:val="bottom"/>
            <w:gridSpan w:val="13"/>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color w:val="auto"/>
              </w:rPr>
              <w:t>Item 1.</w:t>
            </w:r>
          </w:p>
        </w:tc>
        <w:tc>
          <w:tcPr>
            <w:tcW w:w="9320" w:type="dxa"/>
            <w:vAlign w:val="bottom"/>
            <w:gridSpan w:val="18"/>
          </w:tcPr>
          <w:p>
            <w:pPr>
              <w:spacing w:after="0" w:line="194"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16"/>
                <w:szCs w:val="16"/>
                <w:color w:val="auto"/>
              </w:rPr>
            </w:pPr>
          </w:p>
        </w:tc>
        <w:tc>
          <w:tcPr>
            <w:tcW w:w="7840" w:type="dxa"/>
            <w:vAlign w:val="bottom"/>
            <w:gridSpan w:val="14"/>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color w:val="auto"/>
              </w:rPr>
              <w:t>Item 2.</w:t>
            </w:r>
          </w:p>
        </w:tc>
        <w:tc>
          <w:tcPr>
            <w:tcW w:w="9320" w:type="dxa"/>
            <w:vAlign w:val="bottom"/>
            <w:gridSpan w:val="18"/>
          </w:tcPr>
          <w:p>
            <w:pPr>
              <w:spacing w:after="0" w:line="194" w:lineRule="exact"/>
              <w:rPr>
                <w:rFonts w:ascii="Arial" w:cs="Arial" w:eastAsia="Arial" w:hAnsi="Arial"/>
                <w:sz w:val="18"/>
                <w:szCs w:val="18"/>
                <w:color w:val="0000EE"/>
              </w:rPr>
            </w:pPr>
            <w:hyperlink w:anchor="page89">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color w:val="auto"/>
              </w:rPr>
              <w:t>Item 3.</w:t>
            </w:r>
          </w:p>
        </w:tc>
        <w:tc>
          <w:tcPr>
            <w:tcW w:w="2540" w:type="dxa"/>
            <w:vAlign w:val="bottom"/>
            <w:tcBorders>
              <w:top w:val="single" w:sz="8" w:color="0000EE"/>
              <w:bottom w:val="single" w:sz="8" w:color="0000EE"/>
            </w:tcBorders>
            <w:gridSpan w:val="8"/>
          </w:tcPr>
          <w:p>
            <w:pPr>
              <w:spacing w:after="0" w:line="194" w:lineRule="exact"/>
              <w:rPr>
                <w:rFonts w:ascii="Arial" w:cs="Arial" w:eastAsia="Arial" w:hAnsi="Arial"/>
                <w:sz w:val="18"/>
                <w:szCs w:val="18"/>
                <w:color w:val="0000EE"/>
                <w:w w:val="98"/>
              </w:rPr>
            </w:pPr>
            <w:hyperlink w:anchor="page89">
              <w:r>
                <w:rPr>
                  <w:rFonts w:ascii="Arial" w:cs="Arial" w:eastAsia="Arial" w:hAnsi="Arial"/>
                  <w:sz w:val="18"/>
                  <w:szCs w:val="18"/>
                  <w:color w:val="0000EE"/>
                  <w:w w:val="98"/>
                </w:rPr>
                <w:t>Defaults Upon Senior Securities</w:t>
              </w:r>
            </w:hyperlink>
          </w:p>
        </w:tc>
        <w:tc>
          <w:tcPr>
            <w:tcW w:w="2260" w:type="dxa"/>
            <w:vAlign w:val="bottom"/>
            <w:tcBorders>
              <w:top w:val="single" w:sz="8" w:color="0000EE"/>
            </w:tcBorders>
            <w:gridSpan w:val="5"/>
          </w:tcPr>
          <w:p>
            <w:pPr>
              <w:spacing w:after="0"/>
              <w:rPr>
                <w:sz w:val="16"/>
                <w:szCs w:val="16"/>
                <w:color w:val="auto"/>
              </w:rPr>
            </w:pPr>
          </w:p>
        </w:tc>
        <w:tc>
          <w:tcPr>
            <w:tcW w:w="4520" w:type="dxa"/>
            <w:vAlign w:val="bottom"/>
            <w:gridSpan w:val="5"/>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color w:val="auto"/>
              </w:rPr>
              <w:t>Item 4.</w:t>
            </w:r>
          </w:p>
        </w:tc>
        <w:tc>
          <w:tcPr>
            <w:tcW w:w="1920" w:type="dxa"/>
            <w:vAlign w:val="bottom"/>
            <w:tcBorders>
              <w:bottom w:val="single" w:sz="8" w:color="0000EE"/>
            </w:tcBorders>
            <w:gridSpan w:val="5"/>
          </w:tcPr>
          <w:p>
            <w:pPr>
              <w:spacing w:after="0" w:line="194" w:lineRule="exact"/>
              <w:rPr>
                <w:rFonts w:ascii="Arial" w:cs="Arial" w:eastAsia="Arial" w:hAnsi="Arial"/>
                <w:sz w:val="18"/>
                <w:szCs w:val="18"/>
                <w:color w:val="0000EE"/>
                <w:w w:val="98"/>
              </w:rPr>
            </w:pPr>
            <w:hyperlink w:anchor="page89">
              <w:r>
                <w:rPr>
                  <w:rFonts w:ascii="Arial" w:cs="Arial" w:eastAsia="Arial" w:hAnsi="Arial"/>
                  <w:sz w:val="18"/>
                  <w:szCs w:val="18"/>
                  <w:color w:val="0000EE"/>
                  <w:w w:val="98"/>
                </w:rPr>
                <w:t>Mine Safety Disclosures</w:t>
              </w:r>
            </w:hyperlink>
          </w:p>
        </w:tc>
        <w:tc>
          <w:tcPr>
            <w:tcW w:w="7400" w:type="dxa"/>
            <w:vAlign w:val="bottom"/>
            <w:gridSpan w:val="13"/>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color w:val="auto"/>
              </w:rPr>
              <w:t>Item 5.</w:t>
            </w:r>
          </w:p>
        </w:tc>
        <w:tc>
          <w:tcPr>
            <w:tcW w:w="1400" w:type="dxa"/>
            <w:vAlign w:val="bottom"/>
            <w:tcBorders>
              <w:bottom w:val="single" w:sz="8" w:color="0000EE"/>
            </w:tcBorders>
            <w:gridSpan w:val="3"/>
          </w:tcPr>
          <w:p>
            <w:pPr>
              <w:spacing w:after="0" w:line="194" w:lineRule="exact"/>
              <w:rPr>
                <w:rFonts w:ascii="Arial" w:cs="Arial" w:eastAsia="Arial" w:hAnsi="Arial"/>
                <w:sz w:val="18"/>
                <w:szCs w:val="18"/>
                <w:color w:val="0000EE"/>
                <w:w w:val="98"/>
              </w:rPr>
            </w:pPr>
            <w:hyperlink w:anchor="page89">
              <w:r>
                <w:rPr>
                  <w:rFonts w:ascii="Arial" w:cs="Arial" w:eastAsia="Arial" w:hAnsi="Arial"/>
                  <w:sz w:val="18"/>
                  <w:szCs w:val="18"/>
                  <w:color w:val="0000EE"/>
                  <w:w w:val="98"/>
                </w:rPr>
                <w:t>Other Information</w:t>
              </w:r>
            </w:hyperlink>
          </w:p>
        </w:tc>
        <w:tc>
          <w:tcPr>
            <w:tcW w:w="7920" w:type="dxa"/>
            <w:vAlign w:val="bottom"/>
            <w:gridSpan w:val="15"/>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color w:val="auto"/>
              </w:rPr>
              <w:t>Item 6.</w:t>
            </w:r>
          </w:p>
        </w:tc>
        <w:tc>
          <w:tcPr>
            <w:tcW w:w="9320" w:type="dxa"/>
            <w:vAlign w:val="bottom"/>
            <w:gridSpan w:val="18"/>
          </w:tcPr>
          <w:p>
            <w:pPr>
              <w:spacing w:after="0" w:line="194" w:lineRule="exact"/>
              <w:rPr>
                <w:rFonts w:ascii="Arial" w:cs="Arial" w:eastAsia="Arial" w:hAnsi="Arial"/>
                <w:sz w:val="18"/>
                <w:szCs w:val="18"/>
                <w:color w:val="0000EE"/>
              </w:rPr>
            </w:pPr>
            <w:hyperlink w:anchor="page90">
              <w:r>
                <w:rPr>
                  <w:rFonts w:ascii="Arial" w:cs="Arial" w:eastAsia="Arial" w:hAnsi="Arial"/>
                  <w:sz w:val="18"/>
                  <w:szCs w:val="18"/>
                  <w:color w:val="0000EE"/>
                </w:rPr>
                <w:t>Exhibits</w:t>
              </w:r>
            </w:hyperlink>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4"/>
        </w:trPr>
        <w:tc>
          <w:tcPr>
            <w:tcW w:w="860" w:type="dxa"/>
            <w:vAlign w:val="bottom"/>
            <w:tcBorders>
              <w:bottom w:val="single" w:sz="8" w:color="0000EE"/>
            </w:tcBorders>
          </w:tcPr>
          <w:p>
            <w:pPr>
              <w:spacing w:after="0" w:line="194" w:lineRule="exact"/>
              <w:rPr>
                <w:rFonts w:ascii="Arial" w:cs="Arial" w:eastAsia="Arial" w:hAnsi="Arial"/>
                <w:sz w:val="18"/>
                <w:szCs w:val="18"/>
                <w:color w:val="0000EE"/>
                <w:w w:val="97"/>
              </w:rPr>
            </w:pPr>
            <w:hyperlink w:anchor="page91">
              <w:r>
                <w:rPr>
                  <w:rFonts w:ascii="Arial" w:cs="Arial" w:eastAsia="Arial" w:hAnsi="Arial"/>
                  <w:sz w:val="18"/>
                  <w:szCs w:val="18"/>
                  <w:color w:val="0000EE"/>
                  <w:w w:val="97"/>
                </w:rPr>
                <w:t>Signatures</w:t>
              </w:r>
            </w:hyperlink>
          </w:p>
        </w:tc>
        <w:tc>
          <w:tcPr>
            <w:tcW w:w="280" w:type="dxa"/>
            <w:vAlign w:val="bottom"/>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i w:val="1"/>
          <w:iCs w:val="1"/>
          <w:color w:val="auto"/>
        </w:rPr>
        <w:t>This report includes our trademarks and registered trademarks, including Athira, Athira Pharma, the Athira logo, and other trademarks or service marks of Athira. Each other trademark, trade name or service mark appearing in this report belongs to its holder.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RISK FACTORS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captioned “Risk</w:t>
      </w:r>
    </w:p>
    <w:p>
      <w:pPr>
        <w:spacing w:after="0"/>
        <w:rPr>
          <w:sz w:val="20"/>
          <w:szCs w:val="20"/>
          <w:color w:val="auto"/>
        </w:rPr>
      </w:pPr>
      <w:r>
        <w:rPr>
          <w:rFonts w:ascii="Arial" w:cs="Arial" w:eastAsia="Arial" w:hAnsi="Arial"/>
          <w:sz w:val="18"/>
          <w:szCs w:val="18"/>
          <w:color w:val="auto"/>
        </w:rPr>
        <w:t>Factors.” The following is a summary of the principal risks we face:</w:t>
      </w:r>
    </w:p>
    <w:p>
      <w:pPr>
        <w:spacing w:after="0" w:line="101" w:lineRule="exact"/>
        <w:rPr>
          <w:sz w:val="20"/>
          <w:szCs w:val="20"/>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late clinical-stage biopharmaceutical company with a limited operating history.</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of ATH-1017 may never lead to a marketable product.</w:t>
      </w:r>
    </w:p>
    <w:p>
      <w:pPr>
        <w:spacing w:after="0" w:line="113" w:lineRule="exact"/>
        <w:rPr>
          <w:rFonts w:ascii="Arial" w:cs="Arial" w:eastAsia="Arial" w:hAnsi="Arial"/>
          <w:sz w:val="18"/>
          <w:szCs w:val="18"/>
          <w:color w:val="auto"/>
        </w:rPr>
      </w:pPr>
    </w:p>
    <w:p>
      <w:pPr>
        <w:jc w:val="both"/>
        <w:ind w:left="1020" w:hanging="505"/>
        <w:spacing w:after="0" w:line="23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1a/1b clinical trial, including only 11 patients with mild to moderate Alzheimer’s disease, and we cannot be certain that future trials will yield similar data. In addition, our use of electroencephalogram methods to gather data requires placement of electrodes on a subject’s scalp and, if not properly placed, we may be unable to obtain the data sought or data obtained may be unreliable.</w:t>
      </w:r>
    </w:p>
    <w:p>
      <w:pPr>
        <w:spacing w:after="0" w:line="96" w:lineRule="exact"/>
        <w:rPr>
          <w:rFonts w:ascii="Arial" w:cs="Arial" w:eastAsia="Arial" w:hAnsi="Arial"/>
          <w:sz w:val="18"/>
          <w:szCs w:val="18"/>
          <w:color w:val="auto"/>
        </w:rPr>
      </w:pPr>
    </w:p>
    <w:p>
      <w:pPr>
        <w:ind w:left="1020" w:hanging="505"/>
        <w:spacing w:after="0" w:line="227"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18"/>
          <w:szCs w:val="18"/>
          <w:color w:val="auto"/>
        </w:rPr>
        <w:t>An independent special committee of our board of directors is currently engaged in a review of papers co-authored by our chief executive officer in connection with her doctoral research at Washington State University.</w:t>
      </w:r>
    </w:p>
    <w:p>
      <w:pPr>
        <w:spacing w:after="0" w:line="94" w:lineRule="exact"/>
        <w:rPr>
          <w:rFonts w:ascii="Arial" w:cs="Arial" w:eastAsia="Arial" w:hAnsi="Arial"/>
          <w:sz w:val="20"/>
          <w:szCs w:val="20"/>
          <w:color w:val="auto"/>
        </w:rPr>
      </w:pPr>
    </w:p>
    <w:p>
      <w:pPr>
        <w:ind w:left="1020" w:right="20" w:hanging="505"/>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Washington State University has undertaken a review of claims of potential research misconduct involving our chief executive officer’s doctoral research at Washington State University.</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concentrated our research and development efforts on the treatment of central nervous system and peripheral degenerative disorders, a field that has seen very limited success in product development.</w:t>
      </w:r>
    </w:p>
    <w:p>
      <w:pPr>
        <w:spacing w:after="0" w:line="95" w:lineRule="exact"/>
        <w:rPr>
          <w:rFonts w:ascii="Arial" w:cs="Arial" w:eastAsia="Arial" w:hAnsi="Arial"/>
          <w:sz w:val="18"/>
          <w:szCs w:val="18"/>
          <w:color w:val="auto"/>
        </w:rPr>
      </w:pPr>
    </w:p>
    <w:p>
      <w:pPr>
        <w:jc w:val="both"/>
        <w:ind w:left="1020" w:hanging="505"/>
        <w:spacing w:after="0" w:line="23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and/or retention of patients in clinical trials, our regulatory submissions or receipt of necessary marketing approvals could be delayed or prevented.</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and certain of our directors and executive officers have been named as defendants in lawsuits that could result in substantial costs and divert management’s attention.</w:t>
      </w:r>
    </w:p>
    <w:p>
      <w:pPr>
        <w:spacing w:after="0" w:line="95"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effects of the novel coronavirus disease, or COVID-19, pandemic, including the recent emergence of new, highly contagious variants thereof, could adversely impact our business, including our nonclinical studies and clinical trials.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95"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95" w:lineRule="exact"/>
        <w:rPr>
          <w:rFonts w:ascii="Arial" w:cs="Arial" w:eastAsia="Arial" w:hAnsi="Arial"/>
          <w:sz w:val="18"/>
          <w:szCs w:val="18"/>
          <w:color w:val="auto"/>
        </w:rPr>
      </w:pPr>
    </w:p>
    <w:p>
      <w:pPr>
        <w:jc w:val="both"/>
        <w:ind w:left="1020" w:hanging="505"/>
        <w:spacing w:after="0" w:line="23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95"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 w:name="page4"/>
    <w:bookmarkEnd w:id="3"/>
    <w:p>
      <w:pPr>
        <w:ind w:left="505" w:hanging="505"/>
        <w:spacing w:after="0" w:line="239" w:lineRule="auto"/>
        <w:tabs>
          <w:tab w:leader="none" w:pos="505"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approved, our product candidates may not achieve adequate market acceptance among physicians, patients, healthcare payors and others in the medical community necessary for commercial success.</w:t>
      </w:r>
    </w:p>
    <w:p>
      <w:pPr>
        <w:spacing w:after="0" w:line="95" w:lineRule="exact"/>
        <w:rPr>
          <w:rFonts w:ascii="Arial" w:cs="Arial" w:eastAsia="Arial" w:hAnsi="Arial"/>
          <w:sz w:val="18"/>
          <w:szCs w:val="18"/>
          <w:color w:val="auto"/>
        </w:rPr>
      </w:pPr>
    </w:p>
    <w:p>
      <w:pPr>
        <w:ind w:left="505" w:hanging="505"/>
        <w:spacing w:after="0" w:line="239" w:lineRule="auto"/>
        <w:tabs>
          <w:tab w:leader="none" w:pos="50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95" w:lineRule="exact"/>
        <w:rPr>
          <w:rFonts w:ascii="Arial" w:cs="Arial" w:eastAsia="Arial" w:hAnsi="Arial"/>
          <w:sz w:val="18"/>
          <w:szCs w:val="18"/>
          <w:color w:val="auto"/>
        </w:rPr>
      </w:pPr>
    </w:p>
    <w:p>
      <w:pPr>
        <w:ind w:left="505" w:hanging="505"/>
        <w:spacing w:after="0"/>
        <w:tabs>
          <w:tab w:leader="none" w:pos="50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13" w:lineRule="exact"/>
        <w:rPr>
          <w:rFonts w:ascii="Arial" w:cs="Arial" w:eastAsia="Arial" w:hAnsi="Arial"/>
          <w:sz w:val="18"/>
          <w:szCs w:val="18"/>
          <w:color w:val="auto"/>
        </w:rPr>
      </w:pPr>
    </w:p>
    <w:p>
      <w:pPr>
        <w:ind w:left="505" w:hanging="505"/>
        <w:spacing w:after="0" w:line="239" w:lineRule="auto"/>
        <w:tabs>
          <w:tab w:leader="none" w:pos="50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95" w:lineRule="exact"/>
        <w:rPr>
          <w:rFonts w:ascii="Arial" w:cs="Arial" w:eastAsia="Arial" w:hAnsi="Arial"/>
          <w:sz w:val="18"/>
          <w:szCs w:val="18"/>
          <w:color w:val="auto"/>
        </w:rPr>
      </w:pPr>
    </w:p>
    <w:p>
      <w:pPr>
        <w:ind w:left="505" w:hanging="505"/>
        <w:spacing w:after="0"/>
        <w:tabs>
          <w:tab w:leader="none" w:pos="50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stock may be volatile, which could result in substantial losses for investors.</w:t>
      </w:r>
    </w:p>
    <w:p>
      <w:pPr>
        <w:spacing w:after="0" w:line="221" w:lineRule="exact"/>
        <w:rPr>
          <w:sz w:val="20"/>
          <w:szCs w:val="20"/>
          <w:color w:val="auto"/>
        </w:rPr>
      </w:pPr>
    </w:p>
    <w:p>
      <w:pPr>
        <w:jc w:val="center"/>
        <w:ind w:right="495"/>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51435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25"/>
          </w:cols>
          <w:pgMar w:left="835" w:top="46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2"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77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07"/>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4"/>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131,701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60,625</w:t>
            </w:r>
          </w:p>
        </w:tc>
        <w:tc>
          <w:tcPr>
            <w:tcW w:w="120" w:type="dxa"/>
            <w:vAlign w:val="bottom"/>
            <w:shd w:val="clear" w:color="auto" w:fill="CFF0FC"/>
          </w:tcPr>
          <w:p>
            <w:pPr>
              <w:spacing w:after="0"/>
              <w:rPr>
                <w:sz w:val="18"/>
                <w:szCs w:val="18"/>
                <w:color w:val="auto"/>
              </w:rPr>
            </w:pPr>
          </w:p>
        </w:tc>
      </w:tr>
      <w:tr>
        <w:trPr>
          <w:trHeight w:val="214"/>
        </w:trPr>
        <w:tc>
          <w:tcPr>
            <w:tcW w:w="77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153,239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124,057</w:t>
            </w:r>
          </w:p>
        </w:tc>
        <w:tc>
          <w:tcPr>
            <w:tcW w:w="120" w:type="dxa"/>
            <w:vAlign w:val="bottom"/>
          </w:tcPr>
          <w:p>
            <w:pPr>
              <w:spacing w:after="0"/>
              <w:rPr>
                <w:sz w:val="18"/>
                <w:szCs w:val="18"/>
                <w:color w:val="auto"/>
              </w:rPr>
            </w:pPr>
          </w:p>
        </w:tc>
      </w:tr>
      <w:tr>
        <w:trPr>
          <w:trHeight w:val="214"/>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Unbilled grant receivable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FF0FC"/>
          </w:tcPr>
          <w:p>
            <w:pPr>
              <w:spacing w:after="0"/>
              <w:rPr>
                <w:sz w:val="18"/>
                <w:szCs w:val="18"/>
                <w:color w:val="auto"/>
              </w:rPr>
            </w:pPr>
          </w:p>
        </w:tc>
      </w:tr>
      <w:tr>
        <w:trPr>
          <w:trHeight w:val="214"/>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120" w:type="dxa"/>
            <w:vAlign w:val="bottom"/>
            <w:tcBorders>
              <w:bottom w:val="single" w:sz="8" w:color="CFF0FC"/>
            </w:tcBorders>
          </w:tcPr>
          <w:p>
            <w:pPr>
              <w:spacing w:after="0"/>
              <w:rPr>
                <w:sz w:val="18"/>
                <w:szCs w:val="18"/>
                <w:color w:val="auto"/>
              </w:rPr>
            </w:pPr>
          </w:p>
        </w:tc>
      </w:tr>
      <w:tr>
        <w:trPr>
          <w:trHeight w:val="207"/>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290,497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192,337</w:t>
            </w:r>
          </w:p>
        </w:tc>
        <w:tc>
          <w:tcPr>
            <w:tcW w:w="120" w:type="dxa"/>
            <w:vAlign w:val="bottom"/>
            <w:shd w:val="clear" w:color="auto" w:fill="CFF0FC"/>
          </w:tcPr>
          <w:p>
            <w:pPr>
              <w:spacing w:after="0"/>
              <w:rPr>
                <w:sz w:val="18"/>
                <w:szCs w:val="18"/>
                <w:color w:val="auto"/>
              </w:rPr>
            </w:pPr>
          </w:p>
        </w:tc>
      </w:tr>
      <w:tr>
        <w:trPr>
          <w:trHeight w:val="214"/>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2,649</w:t>
            </w:r>
          </w:p>
        </w:tc>
        <w:tc>
          <w:tcPr>
            <w:tcW w:w="120" w:type="dxa"/>
            <w:vAlign w:val="bottom"/>
          </w:tcPr>
          <w:p>
            <w:pPr>
              <w:spacing w:after="0"/>
              <w:rPr>
                <w:sz w:val="18"/>
                <w:szCs w:val="18"/>
                <w:color w:val="auto"/>
              </w:rPr>
            </w:pPr>
          </w:p>
        </w:tc>
      </w:tr>
      <w:tr>
        <w:trPr>
          <w:trHeight w:val="214"/>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FF0FC"/>
          </w:tcPr>
          <w:p>
            <w:pPr>
              <w:spacing w:after="0"/>
              <w:rPr>
                <w:sz w:val="18"/>
                <w:szCs w:val="18"/>
                <w:color w:val="auto"/>
              </w:rPr>
            </w:pPr>
          </w:p>
        </w:tc>
      </w:tr>
      <w:tr>
        <w:trPr>
          <w:trHeight w:val="214"/>
        </w:trPr>
        <w:tc>
          <w:tcPr>
            <w:tcW w:w="7720" w:type="dxa"/>
            <w:vAlign w:val="bottom"/>
          </w:tcPr>
          <w:p>
            <w:pPr>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64,939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83,509</w:t>
            </w:r>
          </w:p>
        </w:tc>
        <w:tc>
          <w:tcPr>
            <w:tcW w:w="120" w:type="dxa"/>
            <w:vAlign w:val="bottom"/>
          </w:tcPr>
          <w:p>
            <w:pPr>
              <w:spacing w:after="0"/>
              <w:rPr>
                <w:sz w:val="18"/>
                <w:szCs w:val="18"/>
                <w:color w:val="auto"/>
              </w:rPr>
            </w:pPr>
          </w:p>
        </w:tc>
      </w:tr>
      <w:tr>
        <w:trPr>
          <w:trHeight w:val="214"/>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8"/>
                <w:szCs w:val="18"/>
                <w:color w:val="auto"/>
              </w:rPr>
            </w:pPr>
          </w:p>
        </w:tc>
      </w:tr>
      <w:tr>
        <w:trPr>
          <w:trHeight w:val="247"/>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360,124</w:t>
            </w: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279,563</w:t>
            </w:r>
          </w:p>
        </w:tc>
        <w:tc>
          <w:tcPr>
            <w:tcW w:w="120" w:type="dxa"/>
            <w:vAlign w:val="bottom"/>
            <w:tcBorders>
              <w:bottom w:val="single" w:sz="8" w:color="CFF0FC"/>
            </w:tcBorders>
          </w:tcPr>
          <w:p>
            <w:pPr>
              <w:spacing w:after="0"/>
              <w:rPr>
                <w:sz w:val="21"/>
                <w:szCs w:val="21"/>
                <w:color w:val="auto"/>
              </w:rPr>
            </w:pPr>
          </w:p>
        </w:tc>
      </w:tr>
      <w:tr>
        <w:trPr>
          <w:trHeight w:val="194"/>
        </w:trPr>
        <w:tc>
          <w:tcPr>
            <w:tcW w:w="7720" w:type="dxa"/>
            <w:vAlign w:val="bottom"/>
            <w:shd w:val="clear" w:color="auto" w:fill="CFF0FC"/>
          </w:tcPr>
          <w:p>
            <w:pPr>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4"/>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FF0FC"/>
          </w:tcPr>
          <w:p>
            <w:pPr>
              <w:spacing w:after="0"/>
              <w:rPr>
                <w:sz w:val="18"/>
                <w:szCs w:val="18"/>
                <w:color w:val="auto"/>
              </w:rPr>
            </w:pPr>
          </w:p>
        </w:tc>
      </w:tr>
      <w:tr>
        <w:trPr>
          <w:trHeight w:val="214"/>
        </w:trPr>
        <w:tc>
          <w:tcPr>
            <w:tcW w:w="77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6,205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18"/>
                <w:szCs w:val="18"/>
                <w:color w:val="auto"/>
              </w:rPr>
            </w:pPr>
          </w:p>
        </w:tc>
      </w:tr>
      <w:tr>
        <w:trPr>
          <w:trHeight w:val="214"/>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operating lease liability</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8"/>
                <w:szCs w:val="18"/>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7,634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4,405</w:t>
            </w:r>
          </w:p>
        </w:tc>
        <w:tc>
          <w:tcPr>
            <w:tcW w:w="120" w:type="dxa"/>
            <w:vAlign w:val="bottom"/>
          </w:tcPr>
          <w:p>
            <w:pPr>
              <w:spacing w:after="0"/>
              <w:rPr>
                <w:sz w:val="18"/>
                <w:szCs w:val="18"/>
                <w:color w:val="auto"/>
              </w:rPr>
            </w:pPr>
          </w:p>
        </w:tc>
      </w:tr>
      <w:tr>
        <w:trPr>
          <w:trHeight w:val="214"/>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less current portion</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FF0FC"/>
          </w:tcPr>
          <w:p>
            <w:pPr>
              <w:spacing w:after="0"/>
              <w:rPr>
                <w:sz w:val="18"/>
                <w:szCs w:val="18"/>
                <w:color w:val="auto"/>
              </w:rPr>
            </w:pPr>
          </w:p>
        </w:tc>
      </w:tr>
      <w:tr>
        <w:trPr>
          <w:trHeight w:val="207"/>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w:t>
            </w:r>
          </w:p>
        </w:tc>
        <w:tc>
          <w:tcPr>
            <w:tcW w:w="120" w:type="dxa"/>
            <w:vAlign w:val="bottom"/>
            <w:tcBorders>
              <w:bottom w:val="single" w:sz="8" w:color="CFF0FC"/>
            </w:tcBorders>
          </w:tcPr>
          <w:p>
            <w:pPr>
              <w:spacing w:after="0"/>
              <w:rPr>
                <w:sz w:val="18"/>
                <w:szCs w:val="18"/>
                <w:color w:val="auto"/>
              </w:rPr>
            </w:pPr>
          </w:p>
        </w:tc>
      </w:tr>
      <w:tr>
        <w:trPr>
          <w:trHeight w:val="20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$0.0001 par value; 900,000,000 shares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1"/>
        </w:trPr>
        <w:tc>
          <w:tcPr>
            <w:tcW w:w="7720" w:type="dxa"/>
            <w:vAlign w:val="bottom"/>
          </w:tcPr>
          <w:p>
            <w:pPr>
              <w:ind w:left="400"/>
              <w:spacing w:after="0" w:line="201" w:lineRule="exact"/>
              <w:rPr>
                <w:sz w:val="20"/>
                <w:szCs w:val="20"/>
                <w:color w:val="auto"/>
              </w:rPr>
            </w:pPr>
            <w:r>
              <w:rPr>
                <w:rFonts w:ascii="Arial" w:cs="Arial" w:eastAsia="Arial" w:hAnsi="Arial"/>
                <w:sz w:val="18"/>
                <w:szCs w:val="18"/>
                <w:color w:val="auto"/>
              </w:rPr>
              <w:t>authorized at June 30, 2021 and December 31, 2020,</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7720" w:type="dxa"/>
            <w:vAlign w:val="bottom"/>
          </w:tcPr>
          <w:p>
            <w:pPr>
              <w:ind w:left="400"/>
              <w:spacing w:after="0" w:line="201" w:lineRule="exact"/>
              <w:rPr>
                <w:sz w:val="20"/>
                <w:szCs w:val="20"/>
                <w:color w:val="auto"/>
              </w:rPr>
            </w:pPr>
            <w:r>
              <w:rPr>
                <w:rFonts w:ascii="Arial" w:cs="Arial" w:eastAsia="Arial" w:hAnsi="Arial"/>
                <w:sz w:val="18"/>
                <w:szCs w:val="18"/>
                <w:color w:val="auto"/>
              </w:rPr>
              <w:t>respectively; 37,251,711 and 32,485,784 shares issued</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7720" w:type="dxa"/>
            <w:vAlign w:val="bottom"/>
          </w:tcPr>
          <w:p>
            <w:pPr>
              <w:ind w:left="400"/>
              <w:spacing w:after="0" w:line="201" w:lineRule="exact"/>
              <w:rPr>
                <w:sz w:val="20"/>
                <w:szCs w:val="20"/>
                <w:color w:val="auto"/>
              </w:rPr>
            </w:pPr>
            <w:r>
              <w:rPr>
                <w:rFonts w:ascii="Arial" w:cs="Arial" w:eastAsia="Arial" w:hAnsi="Arial"/>
                <w:sz w:val="18"/>
                <w:szCs w:val="18"/>
                <w:color w:val="auto"/>
              </w:rPr>
              <w:t>and outstanding at June 30, 2021 and December 31,</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7720" w:type="dxa"/>
            <w:vAlign w:val="bottom"/>
          </w:tcPr>
          <w:p>
            <w:pPr>
              <w:ind w:left="400"/>
              <w:spacing w:after="0" w:line="201" w:lineRule="exact"/>
              <w:rPr>
                <w:sz w:val="20"/>
                <w:szCs w:val="20"/>
                <w:color w:val="auto"/>
              </w:rPr>
            </w:pPr>
            <w:r>
              <w:rPr>
                <w:rFonts w:ascii="Arial" w:cs="Arial" w:eastAsia="Arial" w:hAnsi="Arial"/>
                <w:sz w:val="18"/>
                <w:szCs w:val="18"/>
                <w:color w:val="auto"/>
              </w:rPr>
              <w:t>2020, respectively</w:t>
            </w:r>
          </w:p>
        </w:tc>
        <w:tc>
          <w:tcPr>
            <w:tcW w:w="280" w:type="dxa"/>
            <w:vAlign w:val="bottom"/>
          </w:tcPr>
          <w:p>
            <w:pPr>
              <w:spacing w:after="0"/>
              <w:rPr>
                <w:sz w:val="17"/>
                <w:szCs w:val="17"/>
                <w:color w:val="auto"/>
              </w:rPr>
            </w:pP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r>
      <w:tr>
        <w:trPr>
          <w:trHeight w:val="214"/>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414,550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315,288</w:t>
            </w:r>
          </w:p>
        </w:tc>
        <w:tc>
          <w:tcPr>
            <w:tcW w:w="120" w:type="dxa"/>
            <w:vAlign w:val="bottom"/>
            <w:shd w:val="clear" w:color="auto" w:fill="CFF0FC"/>
          </w:tcPr>
          <w:p>
            <w:pPr>
              <w:spacing w:after="0"/>
              <w:rPr>
                <w:sz w:val="18"/>
                <w:szCs w:val="18"/>
                <w:color w:val="auto"/>
              </w:rPr>
            </w:pPr>
          </w:p>
        </w:tc>
      </w:tr>
      <w:tr>
        <w:trPr>
          <w:trHeight w:val="214"/>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r>
      <w:tr>
        <w:trPr>
          <w:trHeight w:val="214"/>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(63,882)</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(41,042)</w:t>
            </w:r>
          </w:p>
        </w:tc>
      </w:tr>
      <w:tr>
        <w:trPr>
          <w:trHeight w:val="207"/>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350,709</w:t>
            </w:r>
          </w:p>
        </w:tc>
        <w:tc>
          <w:tcPr>
            <w:tcW w:w="2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274,282</w:t>
            </w:r>
          </w:p>
        </w:tc>
        <w:tc>
          <w:tcPr>
            <w:tcW w:w="120" w:type="dxa"/>
            <w:vAlign w:val="bottom"/>
            <w:tcBorders>
              <w:bottom w:val="single" w:sz="8" w:color="CFF0FC"/>
            </w:tcBorders>
          </w:tcPr>
          <w:p>
            <w:pPr>
              <w:spacing w:after="0"/>
              <w:rPr>
                <w:sz w:val="18"/>
                <w:szCs w:val="18"/>
                <w:color w:val="auto"/>
              </w:rPr>
            </w:pPr>
          </w:p>
        </w:tc>
      </w:tr>
      <w:tr>
        <w:trPr>
          <w:trHeight w:val="207"/>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1"/>
        </w:trPr>
        <w:tc>
          <w:tcPr>
            <w:tcW w:w="7720" w:type="dxa"/>
            <w:vAlign w:val="bottom"/>
            <w:tcBorders>
              <w:bottom w:val="single" w:sz="8" w:color="CFF0FC"/>
            </w:tcBorders>
            <w:shd w:val="clear" w:color="auto" w:fill="CFF0FC"/>
          </w:tcPr>
          <w:p>
            <w:pPr>
              <w:ind w:left="640"/>
              <w:spacing w:after="0" w:line="201" w:lineRule="exact"/>
              <w:rPr>
                <w:sz w:val="20"/>
                <w:szCs w:val="20"/>
                <w:color w:val="auto"/>
              </w:rPr>
            </w:pPr>
            <w:r>
              <w:rPr>
                <w:rFonts w:ascii="Arial" w:cs="Arial" w:eastAsia="Arial" w:hAnsi="Arial"/>
                <w:sz w:val="18"/>
                <w:szCs w:val="18"/>
                <w:color w:val="auto"/>
              </w:rPr>
              <w:t>equity</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360,124</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1"/>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279,563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2"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7"/>
        </w:trPr>
        <w:tc>
          <w:tcPr>
            <w:tcW w:w="518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4"/>
                <w:szCs w:val="14"/>
                <w:color w:val="auto"/>
              </w:rPr>
            </w:pPr>
          </w:p>
        </w:tc>
        <w:tc>
          <w:tcPr>
            <w:tcW w:w="8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12,024</w:t>
            </w:r>
          </w:p>
        </w:tc>
        <w:tc>
          <w:tcPr>
            <w:tcW w:w="24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19,469</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(16,637)</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(2,252)</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(27,418)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14"/>
        </w:trPr>
        <w:tc>
          <w:tcPr>
            <w:tcW w:w="5180" w:type="dxa"/>
            <w:vAlign w:val="bottom"/>
          </w:tcPr>
          <w:p>
            <w:pPr>
              <w:spacing w:after="0"/>
              <w:rPr>
                <w:sz w:val="20"/>
                <w:szCs w:val="20"/>
                <w:color w:val="auto"/>
              </w:rPr>
            </w:pPr>
            <w:r>
              <w:rPr>
                <w:rFonts w:ascii="Arial" w:cs="Arial" w:eastAsia="Arial" w:hAnsi="Arial"/>
                <w:sz w:val="18"/>
                <w:szCs w:val="18"/>
                <w:color w:val="auto"/>
              </w:rPr>
              <w:t>Grant income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8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(13,974)</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(22,840)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194"/>
        </w:trPr>
        <w:tc>
          <w:tcPr>
            <w:tcW w:w="51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Unrealized gain on available-for-sale securities</w:t>
            </w:r>
          </w:p>
        </w:tc>
        <w:tc>
          <w:tcPr>
            <w:tcW w:w="6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spacing w:after="0"/>
              <w:rPr>
                <w:sz w:val="16"/>
                <w:szCs w:val="16"/>
                <w:color w:val="auto"/>
              </w:rPr>
            </w:pPr>
          </w:p>
        </w:tc>
        <w:tc>
          <w:tcPr>
            <w:tcW w:w="9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w:t>
            </w:r>
          </w:p>
        </w:tc>
        <w:tc>
          <w:tcPr>
            <w:tcW w:w="2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9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spacing w:after="0"/>
              <w:rPr>
                <w:sz w:val="16"/>
                <w:szCs w:val="16"/>
                <w:color w:val="auto"/>
              </w:rPr>
            </w:pPr>
          </w:p>
        </w:tc>
        <w:tc>
          <w:tcPr>
            <w:tcW w:w="9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9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180" w:type="dxa"/>
            <w:vAlign w:val="bottom"/>
          </w:tcPr>
          <w:p>
            <w:pPr>
              <w:spacing w:after="0"/>
              <w:rPr>
                <w:sz w:val="20"/>
                <w:szCs w:val="20"/>
                <w:color w:val="auto"/>
              </w:rPr>
            </w:pPr>
            <w:r>
              <w:rPr>
                <w:rFonts w:ascii="Arial" w:cs="Arial" w:eastAsia="Arial" w:hAnsi="Arial"/>
                <w:sz w:val="18"/>
                <w:szCs w:val="18"/>
                <w:color w:val="auto"/>
              </w:rPr>
              <w:t>Comprehensive loss attributable to common stockholders</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(13,965)</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(22,836)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193"/>
        </w:trPr>
        <w:tc>
          <w:tcPr>
            <w:tcW w:w="518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8"/>
                <w:szCs w:val="18"/>
                <w:color w:val="auto"/>
              </w:rPr>
              <w:t>Net loss per share attributable to common stockholders,</w:t>
            </w:r>
          </w:p>
        </w:tc>
        <w:tc>
          <w:tcPr>
            <w:tcW w:w="6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80" w:type="dxa"/>
            <w:vAlign w:val="bottom"/>
            <w:shd w:val="clear" w:color="auto" w:fill="CFF0FC"/>
          </w:tcPr>
          <w:p>
            <w:pPr>
              <w:ind w:left="160"/>
              <w:spacing w:after="0" w:line="201" w:lineRule="exact"/>
              <w:rPr>
                <w:sz w:val="20"/>
                <w:szCs w:val="20"/>
                <w:color w:val="auto"/>
              </w:rPr>
            </w:pPr>
            <w:r>
              <w:rPr>
                <w:rFonts w:ascii="Arial" w:cs="Arial" w:eastAsia="Arial" w:hAnsi="Arial"/>
                <w:sz w:val="18"/>
                <w:szCs w:val="18"/>
                <w:color w:val="auto"/>
              </w:rPr>
              <w:t>basic and diluted</w:t>
            </w:r>
          </w:p>
        </w:tc>
        <w:tc>
          <w:tcPr>
            <w:tcW w:w="800" w:type="dxa"/>
            <w:vAlign w:val="bottom"/>
            <w:gridSpan w:val="2"/>
            <w:shd w:val="clear" w:color="auto" w:fill="CFF0FC"/>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line="201" w:lineRule="exact"/>
              <w:rPr>
                <w:sz w:val="20"/>
                <w:szCs w:val="20"/>
                <w:color w:val="auto"/>
              </w:rPr>
            </w:pPr>
            <w:r>
              <w:rPr>
                <w:rFonts w:ascii="Arial" w:cs="Arial" w:eastAsia="Arial" w:hAnsi="Arial"/>
                <w:sz w:val="18"/>
                <w:szCs w:val="18"/>
                <w:color w:val="auto"/>
              </w:rPr>
              <w:t>(0.38)</w:t>
            </w:r>
          </w:p>
        </w:tc>
        <w:tc>
          <w:tcPr>
            <w:tcW w:w="220" w:type="dxa"/>
            <w:vAlign w:val="bottom"/>
            <w:shd w:val="clear" w:color="auto" w:fill="CFF0FC"/>
          </w:tcPr>
          <w:p>
            <w:pPr>
              <w:jc w:val="right"/>
              <w:ind w:right="31"/>
              <w:spacing w:after="0" w:line="201"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line="201" w:lineRule="exact"/>
              <w:rPr>
                <w:sz w:val="20"/>
                <w:szCs w:val="20"/>
                <w:color w:val="auto"/>
              </w:rPr>
            </w:pPr>
            <w:r>
              <w:rPr>
                <w:rFonts w:ascii="Arial" w:cs="Arial" w:eastAsia="Arial" w:hAnsi="Arial"/>
                <w:sz w:val="18"/>
                <w:szCs w:val="18"/>
                <w:color w:val="auto"/>
              </w:rPr>
              <w:t>(0.48)</w:t>
            </w:r>
          </w:p>
        </w:tc>
        <w:tc>
          <w:tcPr>
            <w:tcW w:w="1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00"/>
              <w:spacing w:after="0" w:line="201" w:lineRule="exact"/>
              <w:rPr>
                <w:sz w:val="20"/>
                <w:szCs w:val="20"/>
                <w:color w:val="auto"/>
              </w:rPr>
            </w:pPr>
            <w:r>
              <w:rPr>
                <w:rFonts w:ascii="Arial" w:cs="Arial" w:eastAsia="Arial" w:hAnsi="Arial"/>
                <w:sz w:val="18"/>
                <w:szCs w:val="18"/>
                <w:color w:val="auto"/>
              </w:rPr>
              <w:t>(0.68)</w:t>
            </w:r>
          </w:p>
        </w:tc>
        <w:tc>
          <w:tcPr>
            <w:tcW w:w="300" w:type="dxa"/>
            <w:vAlign w:val="bottom"/>
            <w:gridSpan w:val="2"/>
            <w:shd w:val="clear" w:color="auto" w:fill="CFF0F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line="201"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in computing net loss per</w:t>
            </w:r>
          </w:p>
        </w:tc>
        <w:tc>
          <w:tcPr>
            <w:tcW w:w="6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80" w:type="dxa"/>
            <w:vAlign w:val="bottom"/>
          </w:tcPr>
          <w:p>
            <w:pPr>
              <w:ind w:left="160"/>
              <w:spacing w:after="0" w:line="201" w:lineRule="exact"/>
              <w:rPr>
                <w:sz w:val="20"/>
                <w:szCs w:val="20"/>
                <w:color w:val="auto"/>
              </w:rPr>
            </w:pPr>
            <w:r>
              <w:rPr>
                <w:rFonts w:ascii="Arial" w:cs="Arial" w:eastAsia="Arial" w:hAnsi="Arial"/>
                <w:sz w:val="18"/>
                <w:szCs w:val="18"/>
                <w:color w:val="auto"/>
              </w:rPr>
              <w:t>share attributable to common stockholders, basic and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80" w:type="dxa"/>
            <w:vAlign w:val="bottom"/>
          </w:tcPr>
          <w:p>
            <w:pPr>
              <w:ind w:left="160"/>
              <w:spacing w:after="0" w:line="201" w:lineRule="exact"/>
              <w:rPr>
                <w:sz w:val="20"/>
                <w:szCs w:val="20"/>
                <w:color w:val="auto"/>
              </w:rPr>
            </w:pPr>
            <w:r>
              <w:rPr>
                <w:rFonts w:ascii="Arial" w:cs="Arial" w:eastAsia="Arial" w:hAnsi="Arial"/>
                <w:sz w:val="18"/>
                <w:szCs w:val="18"/>
                <w:color w:val="auto"/>
              </w:rPr>
              <w:t>diluted</w:t>
            </w:r>
          </w:p>
        </w:tc>
        <w:tc>
          <w:tcPr>
            <w:tcW w:w="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37,214,602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4,127,645</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33,813,104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3,937,501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(Deficit) Equity</w:t>
      </w:r>
    </w:p>
    <w:p>
      <w:pPr>
        <w:jc w:val="center"/>
        <w:spacing w:after="0" w:line="232" w:lineRule="auto"/>
        <w:rPr>
          <w:sz w:val="20"/>
          <w:szCs w:val="20"/>
          <w:color w:val="auto"/>
        </w:rPr>
      </w:pPr>
      <w:r>
        <w:rPr>
          <w:rFonts w:ascii="Arial" w:cs="Arial" w:eastAsia="Arial" w:hAnsi="Arial"/>
          <w:sz w:val="18"/>
          <w:szCs w:val="18"/>
          <w:b w:val="1"/>
          <w:bCs w:val="1"/>
          <w:color w:val="auto"/>
        </w:rPr>
        <w:t>For the Three and Six Months Ended June 30, 2021 and 2020</w:t>
      </w:r>
    </w:p>
    <w:p>
      <w:pPr>
        <w:jc w:val="center"/>
        <w:spacing w:after="0" w:line="233" w:lineRule="auto"/>
        <w:rPr>
          <w:sz w:val="20"/>
          <w:szCs w:val="20"/>
          <w:color w:val="auto"/>
        </w:rPr>
      </w:pPr>
      <w:r>
        <w:rPr>
          <w:rFonts w:ascii="Arial" w:cs="Arial" w:eastAsia="Arial" w:hAnsi="Arial"/>
          <w:sz w:val="18"/>
          <w:szCs w:val="18"/>
          <w:b w:val="1"/>
          <w:bCs w:val="1"/>
          <w:color w:val="auto"/>
        </w:rPr>
        <w:t>(in thousands, except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3"/>
                <w:szCs w:val="13"/>
                <w:color w:val="auto"/>
              </w:rPr>
            </w:pPr>
          </w:p>
        </w:tc>
        <w:tc>
          <w:tcPr>
            <w:tcW w:w="196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4"/>
        </w:trPr>
        <w:tc>
          <w:tcPr>
            <w:tcW w:w="2900" w:type="dxa"/>
            <w:vAlign w:val="bottom"/>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rPr>
              <w:t>Paid-In</w:t>
            </w:r>
          </w:p>
        </w:tc>
        <w:tc>
          <w:tcPr>
            <w:tcW w:w="148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7"/>
        </w:trPr>
        <w:tc>
          <w:tcPr>
            <w:tcW w:w="29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right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Income</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Equity</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as of January 1, 2020</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2,617,386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17,051</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3,641,449</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1,364</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(21,087)</w:t>
            </w: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(19,723)</w:t>
            </w:r>
          </w:p>
        </w:tc>
        <w:tc>
          <w:tcPr>
            <w:tcW w:w="0" w:type="dxa"/>
            <w:vAlign w:val="bottom"/>
          </w:tcPr>
          <w:p>
            <w:pPr>
              <w:spacing w:after="0"/>
              <w:rPr>
                <w:sz w:val="1"/>
                <w:szCs w:val="1"/>
                <w:color w:val="auto"/>
              </w:rPr>
            </w:pPr>
          </w:p>
        </w:tc>
      </w:tr>
      <w:tr>
        <w:trPr>
          <w:trHeight w:val="179"/>
        </w:trPr>
        <w:tc>
          <w:tcPr>
            <w:tcW w:w="290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00" w:type="dxa"/>
            <w:vAlign w:val="bottom"/>
          </w:tcPr>
          <w:p>
            <w:pPr>
              <w:ind w:left="380"/>
              <w:spacing w:after="0" w:line="156" w:lineRule="exact"/>
              <w:rPr>
                <w:sz w:val="20"/>
                <w:szCs w:val="20"/>
                <w:color w:val="auto"/>
              </w:rPr>
            </w:pPr>
            <w:r>
              <w:rPr>
                <w:rFonts w:ascii="Arial" w:cs="Arial" w:eastAsia="Arial" w:hAnsi="Arial"/>
                <w:sz w:val="14"/>
                <w:szCs w:val="14"/>
                <w:color w:val="auto"/>
              </w:rPr>
              <w:t>exercise of common stock options</w:t>
            </w:r>
          </w:p>
        </w:tc>
        <w:tc>
          <w:tcPr>
            <w:tcW w:w="102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220,043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176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4"/>
                <w:szCs w:val="14"/>
                <w:color w:val="auto"/>
              </w:rPr>
              <w:t>176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(1,805)</w:t>
            </w:r>
          </w:p>
        </w:tc>
        <w:tc>
          <w:tcPr>
            <w:tcW w:w="14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(1,805)</w:t>
            </w:r>
          </w:p>
        </w:tc>
        <w:tc>
          <w:tcPr>
            <w:tcW w:w="0" w:type="dxa"/>
            <w:vAlign w:val="bottom"/>
          </w:tcPr>
          <w:p>
            <w:pPr>
              <w:spacing w:after="0"/>
              <w:rPr>
                <w:sz w:val="1"/>
                <w:szCs w:val="1"/>
                <w:color w:val="auto"/>
              </w:rPr>
            </w:pPr>
          </w:p>
        </w:tc>
      </w:tr>
      <w:tr>
        <w:trPr>
          <w:trHeight w:val="20"/>
        </w:trPr>
        <w:tc>
          <w:tcPr>
            <w:tcW w:w="290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as of March 31, 2020</w:t>
            </w: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900" w:type="dxa"/>
            <w:vAlign w:val="bottom"/>
            <w:vMerge w:val="continue"/>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2,617,386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17,051</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3,861,492</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1,598</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(22,892)</w:t>
            </w: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(21,294)</w:t>
            </w: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Issuance of common stock upon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90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00" w:type="dxa"/>
            <w:vAlign w:val="bottom"/>
          </w:tcPr>
          <w:p>
            <w:pPr>
              <w:ind w:left="380"/>
              <w:spacing w:after="0" w:line="156" w:lineRule="exact"/>
              <w:rPr>
                <w:sz w:val="20"/>
                <w:szCs w:val="20"/>
                <w:color w:val="auto"/>
              </w:rPr>
            </w:pPr>
            <w:r>
              <w:rPr>
                <w:rFonts w:ascii="Arial" w:cs="Arial" w:eastAsia="Arial" w:hAnsi="Arial"/>
                <w:sz w:val="14"/>
                <w:szCs w:val="14"/>
                <w:color w:val="auto"/>
              </w:rPr>
              <w:t>exercise of common stock options</w:t>
            </w:r>
          </w:p>
        </w:tc>
        <w:tc>
          <w:tcPr>
            <w:tcW w:w="102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58,006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62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4"/>
                <w:szCs w:val="14"/>
                <w:color w:val="auto"/>
              </w:rPr>
              <w:t>62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Series B convertible</w:t>
            </w: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9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preferred stock and common stock</w:t>
            </w: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warrants, net of issuance costs</w:t>
            </w: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00" w:type="dxa"/>
            <w:vAlign w:val="bottom"/>
            <w:shd w:val="clear" w:color="auto" w:fill="CFF0FC"/>
          </w:tcPr>
          <w:p>
            <w:pPr>
              <w:ind w:left="380"/>
              <w:spacing w:after="0" w:line="156" w:lineRule="exact"/>
              <w:rPr>
                <w:sz w:val="20"/>
                <w:szCs w:val="20"/>
                <w:color w:val="auto"/>
              </w:rPr>
            </w:pPr>
            <w:r>
              <w:rPr>
                <w:rFonts w:ascii="Arial" w:cs="Arial" w:eastAsia="Arial" w:hAnsi="Arial"/>
                <w:sz w:val="14"/>
                <w:szCs w:val="14"/>
                <w:color w:val="auto"/>
              </w:rPr>
              <w:t>of $3.5 million</w:t>
            </w: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9,372,765</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70,791</w:t>
            </w:r>
          </w:p>
        </w:tc>
        <w:tc>
          <w:tcPr>
            <w:tcW w:w="2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10,591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10,591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900" w:type="dxa"/>
            <w:vAlign w:val="bottom"/>
          </w:tcPr>
          <w:p>
            <w:pPr>
              <w:ind w:left="260"/>
              <w:spacing w:after="0"/>
              <w:rPr>
                <w:sz w:val="20"/>
                <w:szCs w:val="20"/>
                <w:color w:val="auto"/>
              </w:rPr>
            </w:pPr>
            <w:r>
              <w:rPr>
                <w:rFonts w:ascii="Arial" w:cs="Arial" w:eastAsia="Arial" w:hAnsi="Arial"/>
                <w:sz w:val="14"/>
                <w:szCs w:val="14"/>
                <w:color w:val="auto"/>
              </w:rPr>
              <w:t>Issuance of the Series B-1 convertible</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380"/>
              <w:spacing w:after="0"/>
              <w:rPr>
                <w:sz w:val="20"/>
                <w:szCs w:val="20"/>
                <w:color w:val="auto"/>
              </w:rPr>
            </w:pPr>
            <w:r>
              <w:rPr>
                <w:rFonts w:ascii="Arial" w:cs="Arial" w:eastAsia="Arial" w:hAnsi="Arial"/>
                <w:sz w:val="14"/>
                <w:szCs w:val="14"/>
                <w:color w:val="auto"/>
              </w:rPr>
              <w:t>preferred stock upon conversion of</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00" w:type="dxa"/>
            <w:vAlign w:val="bottom"/>
          </w:tcPr>
          <w:p>
            <w:pPr>
              <w:ind w:left="380"/>
              <w:spacing w:after="0" w:line="156" w:lineRule="exact"/>
              <w:rPr>
                <w:sz w:val="20"/>
                <w:szCs w:val="20"/>
                <w:color w:val="auto"/>
              </w:rPr>
            </w:pPr>
            <w:r>
              <w:rPr>
                <w:rFonts w:ascii="Arial" w:cs="Arial" w:eastAsia="Arial" w:hAnsi="Arial"/>
                <w:sz w:val="14"/>
                <w:szCs w:val="14"/>
                <w:color w:val="auto"/>
              </w:rPr>
              <w:t>convertible notes</w:t>
            </w: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512,858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4,515</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common stock warrants</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688,067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(1,992)</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June 30, 2020</w:t>
            </w: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90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12,503,009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92,357</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4,607,565</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12,355</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(24,884)</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(12,529)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3"/>
                <w:szCs w:val="13"/>
                <w:color w:val="auto"/>
              </w:rPr>
            </w:pPr>
          </w:p>
        </w:tc>
        <w:tc>
          <w:tcPr>
            <w:tcW w:w="196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4"/>
        </w:trPr>
        <w:tc>
          <w:tcPr>
            <w:tcW w:w="2900" w:type="dxa"/>
            <w:vAlign w:val="bottom"/>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rPr>
              <w:t>Paid-In</w:t>
            </w:r>
          </w:p>
        </w:tc>
        <w:tc>
          <w:tcPr>
            <w:tcW w:w="148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7"/>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January 1, 2021</w:t>
            </w: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00" w:type="dxa"/>
            <w:vAlign w:val="bottom"/>
            <w:vMerge w:val="continue"/>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32,485,784</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315,288</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(41,042)</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274,282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upon</w:t>
            </w: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9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exercise of common stock options</w:t>
            </w: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00" w:type="dxa"/>
            <w:vAlign w:val="bottom"/>
            <w:shd w:val="clear" w:color="auto" w:fill="CFF0FC"/>
          </w:tcPr>
          <w:p>
            <w:pPr>
              <w:ind w:left="380"/>
              <w:spacing w:after="0" w:line="156" w:lineRule="exact"/>
              <w:rPr>
                <w:sz w:val="20"/>
                <w:szCs w:val="20"/>
                <w:color w:val="auto"/>
              </w:rPr>
            </w:pPr>
            <w:r>
              <w:rPr>
                <w:rFonts w:ascii="Arial" w:cs="Arial" w:eastAsia="Arial" w:hAnsi="Arial"/>
                <w:sz w:val="14"/>
                <w:szCs w:val="14"/>
                <w:color w:val="auto"/>
              </w:rPr>
              <w:t>and vesting of restricted stock units</w:t>
            </w:r>
          </w:p>
        </w:tc>
        <w:tc>
          <w:tcPr>
            <w:tcW w:w="1020" w:type="dxa"/>
            <w:vAlign w:val="bottom"/>
            <w:gridSpan w:val="2"/>
            <w:shd w:val="clear" w:color="auto" w:fill="CFF0FC"/>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60" w:type="dxa"/>
            <w:vAlign w:val="bottom"/>
            <w:tcBorders>
              <w:right w:val="single" w:sz="8" w:color="auto"/>
            </w:tcBorders>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64,527</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70</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900" w:type="dxa"/>
            <w:vAlign w:val="bottom"/>
          </w:tcPr>
          <w:p>
            <w:pPr>
              <w:ind w:left="260"/>
              <w:spacing w:after="0"/>
              <w:rPr>
                <w:sz w:val="20"/>
                <w:szCs w:val="20"/>
                <w:color w:val="auto"/>
              </w:rPr>
            </w:pPr>
            <w:r>
              <w:rPr>
                <w:rFonts w:ascii="Arial" w:cs="Arial" w:eastAsia="Arial" w:hAnsi="Arial"/>
                <w:sz w:val="14"/>
                <w:szCs w:val="14"/>
                <w:color w:val="auto"/>
              </w:rPr>
              <w:t>Proceeds from follow-on public offering,</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380"/>
              <w:spacing w:after="0"/>
              <w:rPr>
                <w:sz w:val="20"/>
                <w:szCs w:val="20"/>
                <w:color w:val="auto"/>
              </w:rPr>
            </w:pPr>
            <w:r>
              <w:rPr>
                <w:rFonts w:ascii="Arial" w:cs="Arial" w:eastAsia="Arial" w:hAnsi="Arial"/>
                <w:sz w:val="14"/>
                <w:szCs w:val="14"/>
                <w:color w:val="auto"/>
              </w:rPr>
              <w:t>net of underwriters' discounts and</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00" w:type="dxa"/>
            <w:vAlign w:val="bottom"/>
          </w:tcPr>
          <w:p>
            <w:pPr>
              <w:ind w:left="380"/>
              <w:spacing w:after="0" w:line="156" w:lineRule="exact"/>
              <w:rPr>
                <w:sz w:val="20"/>
                <w:szCs w:val="20"/>
                <w:color w:val="auto"/>
              </w:rPr>
            </w:pPr>
            <w:r>
              <w:rPr>
                <w:rFonts w:ascii="Arial" w:cs="Arial" w:eastAsia="Arial" w:hAnsi="Arial"/>
                <w:sz w:val="14"/>
                <w:szCs w:val="14"/>
                <w:color w:val="auto"/>
              </w:rPr>
              <w:t>commissions and issuance costs</w:t>
            </w:r>
          </w:p>
        </w:tc>
        <w:tc>
          <w:tcPr>
            <w:tcW w:w="102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4,600,000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96,761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4"/>
                <w:szCs w:val="14"/>
                <w:color w:val="auto"/>
              </w:rPr>
              <w:t>96,762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0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4"/>
        </w:trPr>
        <w:tc>
          <w:tcPr>
            <w:tcW w:w="2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(8,866)</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(8,866)</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March 31, 2021</w:t>
            </w: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0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37,150,311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413,093</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(49,908)</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363,217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900" w:type="dxa"/>
            <w:vAlign w:val="bottom"/>
            <w:tcBorders>
              <w:top w:val="single" w:sz="8" w:color="CFF0FC"/>
            </w:tcBorders>
            <w:shd w:val="clear" w:color="auto" w:fill="CFF0FC"/>
          </w:tcPr>
          <w:p>
            <w:pPr>
              <w:ind w:left="260"/>
              <w:spacing w:after="0" w:line="159" w:lineRule="exact"/>
              <w:rPr>
                <w:sz w:val="20"/>
                <w:szCs w:val="20"/>
                <w:color w:val="auto"/>
              </w:rPr>
            </w:pPr>
            <w:r>
              <w:rPr>
                <w:rFonts w:ascii="Arial" w:cs="Arial" w:eastAsia="Arial" w:hAnsi="Arial"/>
                <w:sz w:val="14"/>
                <w:szCs w:val="14"/>
                <w:color w:val="auto"/>
              </w:rPr>
              <w:t>Issuance of common stock upon</w:t>
            </w:r>
          </w:p>
        </w:tc>
        <w:tc>
          <w:tcPr>
            <w:tcW w:w="8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00" w:type="dxa"/>
            <w:vAlign w:val="bottom"/>
            <w:shd w:val="clear" w:color="auto" w:fill="CFF0FC"/>
          </w:tcPr>
          <w:p>
            <w:pPr>
              <w:ind w:left="380"/>
              <w:spacing w:after="0" w:line="156" w:lineRule="exact"/>
              <w:rPr>
                <w:sz w:val="20"/>
                <w:szCs w:val="20"/>
                <w:color w:val="auto"/>
              </w:rPr>
            </w:pPr>
            <w:r>
              <w:rPr>
                <w:rFonts w:ascii="Arial" w:cs="Arial" w:eastAsia="Arial" w:hAnsi="Arial"/>
                <w:sz w:val="14"/>
                <w:szCs w:val="14"/>
                <w:color w:val="auto"/>
              </w:rPr>
              <w:t>exercise of common stock options</w:t>
            </w:r>
          </w:p>
        </w:tc>
        <w:tc>
          <w:tcPr>
            <w:tcW w:w="1020" w:type="dxa"/>
            <w:vAlign w:val="bottom"/>
            <w:gridSpan w:val="2"/>
            <w:shd w:val="clear" w:color="auto" w:fill="CFF0FC"/>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60" w:type="dxa"/>
            <w:vAlign w:val="bottom"/>
            <w:tcBorders>
              <w:right w:val="single" w:sz="8" w:color="auto"/>
            </w:tcBorders>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85,593</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119</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119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900" w:type="dxa"/>
            <w:vAlign w:val="bottom"/>
          </w:tcPr>
          <w:p>
            <w:pPr>
              <w:ind w:left="260"/>
              <w:spacing w:after="0"/>
              <w:rPr>
                <w:sz w:val="20"/>
                <w:szCs w:val="20"/>
                <w:color w:val="auto"/>
              </w:rPr>
            </w:pPr>
            <w:r>
              <w:rPr>
                <w:rFonts w:ascii="Arial" w:cs="Arial" w:eastAsia="Arial" w:hAnsi="Arial"/>
                <w:sz w:val="14"/>
                <w:szCs w:val="14"/>
                <w:color w:val="auto"/>
              </w:rPr>
              <w:t>Issuance of common stock under</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00" w:type="dxa"/>
            <w:vAlign w:val="bottom"/>
          </w:tcPr>
          <w:p>
            <w:pPr>
              <w:ind w:left="380"/>
              <w:spacing w:after="0" w:line="156" w:lineRule="exact"/>
              <w:rPr>
                <w:sz w:val="20"/>
                <w:szCs w:val="20"/>
                <w:color w:val="auto"/>
              </w:rPr>
            </w:pPr>
            <w:r>
              <w:rPr>
                <w:rFonts w:ascii="Arial" w:cs="Arial" w:eastAsia="Arial" w:hAnsi="Arial"/>
                <w:sz w:val="14"/>
                <w:szCs w:val="14"/>
                <w:color w:val="auto"/>
              </w:rPr>
              <w:t>employee stock purchase plan</w:t>
            </w:r>
          </w:p>
        </w:tc>
        <w:tc>
          <w:tcPr>
            <w:tcW w:w="102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15,867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229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4"/>
                <w:szCs w:val="14"/>
                <w:color w:val="auto"/>
              </w:rPr>
              <w:t>229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0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(13,974)</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(13,974)</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June 30, 2021</w:t>
            </w: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90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37,251,771</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414,550</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(63,882)</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350,709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2"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40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Operating activities</w:t>
            </w:r>
          </w:p>
        </w:tc>
        <w:tc>
          <w:tcPr>
            <w:tcW w:w="1320" w:type="dxa"/>
            <w:vAlign w:val="bottom"/>
            <w:tcBorders>
              <w:top w:val="single" w:sz="8" w:color="CFF0FC"/>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4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2280" w:type="dxa"/>
            <w:vAlign w:val="bottom"/>
            <w:gridSpan w:val="2"/>
          </w:tcPr>
          <w:p>
            <w:pPr>
              <w:jc w:val="right"/>
              <w:ind w:right="80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(22,840)</w:t>
            </w:r>
          </w:p>
        </w:tc>
        <w:tc>
          <w:tcPr>
            <w:tcW w:w="180" w:type="dxa"/>
            <w:vAlign w:val="bottom"/>
          </w:tcPr>
          <w:p>
            <w:pPr>
              <w:spacing w:after="0"/>
              <w:rPr>
                <w:sz w:val="15"/>
                <w:szCs w:val="15"/>
                <w:color w:val="auto"/>
              </w:rPr>
            </w:pPr>
          </w:p>
        </w:tc>
        <w:tc>
          <w:tcPr>
            <w:tcW w:w="1020" w:type="dxa"/>
            <w:vAlign w:val="bottom"/>
          </w:tcPr>
          <w:p>
            <w:pPr>
              <w:jc w:val="right"/>
              <w:ind w:right="86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(3,797)</w:t>
            </w:r>
          </w:p>
        </w:tc>
        <w:tc>
          <w:tcPr>
            <w:tcW w:w="0" w:type="dxa"/>
            <w:vAlign w:val="bottom"/>
          </w:tcPr>
          <w:p>
            <w:pPr>
              <w:spacing w:after="0"/>
              <w:rPr>
                <w:sz w:val="1"/>
                <w:szCs w:val="1"/>
                <w:color w:val="auto"/>
              </w:rPr>
            </w:pPr>
          </w:p>
        </w:tc>
      </w:tr>
      <w:tr>
        <w:trPr>
          <w:trHeight w:val="174"/>
        </w:trPr>
        <w:tc>
          <w:tcPr>
            <w:tcW w:w="64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0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2,083</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74"/>
        </w:trPr>
        <w:tc>
          <w:tcPr>
            <w:tcW w:w="64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Depreciation expense</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230</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400" w:type="dxa"/>
            <w:vAlign w:val="bottom"/>
          </w:tcPr>
          <w:p>
            <w:pPr>
              <w:ind w:left="500"/>
              <w:spacing w:after="0"/>
              <w:rPr>
                <w:sz w:val="20"/>
                <w:szCs w:val="20"/>
                <w:color w:val="auto"/>
              </w:rPr>
            </w:pPr>
            <w:r>
              <w:rPr>
                <w:rFonts w:ascii="Arial" w:cs="Arial" w:eastAsia="Arial" w:hAnsi="Arial"/>
                <w:sz w:val="14"/>
                <w:szCs w:val="14"/>
                <w:color w:val="auto"/>
              </w:rPr>
              <w:t>Other non-cash expense</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79"/>
        </w:trPr>
        <w:tc>
          <w:tcPr>
            <w:tcW w:w="64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premiums and accretion of discounts on</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620"/>
              <w:spacing w:after="0" w:line="156" w:lineRule="exact"/>
              <w:rPr>
                <w:sz w:val="20"/>
                <w:szCs w:val="20"/>
                <w:color w:val="auto"/>
              </w:rPr>
            </w:pPr>
            <w:r>
              <w:rPr>
                <w:rFonts w:ascii="Arial" w:cs="Arial" w:eastAsia="Arial" w:hAnsi="Arial"/>
                <w:sz w:val="14"/>
                <w:szCs w:val="14"/>
                <w:color w:val="auto"/>
              </w:rPr>
              <w:t>available-for-sale securities, net</w:t>
            </w:r>
          </w:p>
        </w:tc>
        <w:tc>
          <w:tcPr>
            <w:tcW w:w="13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9"/>
              <w:spacing w:after="0" w:line="156" w:lineRule="exact"/>
              <w:rPr>
                <w:sz w:val="20"/>
                <w:szCs w:val="20"/>
                <w:color w:val="auto"/>
              </w:rPr>
            </w:pPr>
            <w:r>
              <w:rPr>
                <w:rFonts w:ascii="Arial" w:cs="Arial" w:eastAsia="Arial" w:hAnsi="Arial"/>
                <w:sz w:val="14"/>
                <w:szCs w:val="14"/>
                <w:color w:val="auto"/>
              </w:rPr>
              <w:t>226</w:t>
            </w: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9"/>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40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00" w:type="dxa"/>
            <w:vAlign w:val="bottom"/>
            <w:shd w:val="clear" w:color="auto" w:fill="CFF0FC"/>
          </w:tcPr>
          <w:p>
            <w:pPr>
              <w:ind w:left="620"/>
              <w:spacing w:after="0"/>
              <w:rPr>
                <w:sz w:val="20"/>
                <w:szCs w:val="20"/>
                <w:color w:val="auto"/>
              </w:rPr>
            </w:pPr>
            <w:r>
              <w:rPr>
                <w:rFonts w:ascii="Arial" w:cs="Arial" w:eastAsia="Arial" w:hAnsi="Arial"/>
                <w:sz w:val="14"/>
                <w:szCs w:val="14"/>
                <w:color w:val="auto"/>
              </w:rPr>
              <w:t>Unbilled grant receivables</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(1,289)</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400" w:type="dxa"/>
            <w:vAlign w:val="bottom"/>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3,217</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174"/>
        </w:trPr>
        <w:tc>
          <w:tcPr>
            <w:tcW w:w="640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 and accrued expenses</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3,318</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74"/>
        </w:trPr>
        <w:tc>
          <w:tcPr>
            <w:tcW w:w="6400" w:type="dxa"/>
            <w:vAlign w:val="bottom"/>
            <w:tcBorders>
              <w:bottom w:val="single" w:sz="8" w:color="CFF0FC"/>
            </w:tcBorders>
          </w:tcPr>
          <w:p>
            <w:pPr>
              <w:ind w:left="620"/>
              <w:spacing w:after="0"/>
              <w:rPr>
                <w:sz w:val="20"/>
                <w:szCs w:val="20"/>
                <w:color w:val="auto"/>
              </w:rPr>
            </w:pPr>
            <w:r>
              <w:rPr>
                <w:rFonts w:ascii="Arial" w:cs="Arial" w:eastAsia="Arial" w:hAnsi="Arial"/>
                <w:sz w:val="14"/>
                <w:szCs w:val="14"/>
                <w:color w:val="auto"/>
              </w:rPr>
              <w:t>Operating lease liability</w:t>
            </w:r>
          </w:p>
        </w:tc>
        <w:tc>
          <w:tcPr>
            <w:tcW w:w="132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433</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4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Net cash used in operating activities</w:t>
            </w:r>
          </w:p>
        </w:tc>
        <w:tc>
          <w:tcPr>
            <w:tcW w:w="1320" w:type="dxa"/>
            <w:vAlign w:val="bottom"/>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(14,622)</w:t>
            </w:r>
          </w:p>
        </w:tc>
        <w:tc>
          <w:tcPr>
            <w:tcW w:w="18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rPr>
              <w:t>(4,037)</w:t>
            </w:r>
          </w:p>
        </w:tc>
        <w:tc>
          <w:tcPr>
            <w:tcW w:w="0" w:type="dxa"/>
            <w:vAlign w:val="bottom"/>
          </w:tcPr>
          <w:p>
            <w:pPr>
              <w:spacing w:after="0"/>
              <w:rPr>
                <w:sz w:val="1"/>
                <w:szCs w:val="1"/>
                <w:color w:val="auto"/>
              </w:rPr>
            </w:pPr>
          </w:p>
        </w:tc>
      </w:tr>
      <w:tr>
        <w:trPr>
          <w:trHeight w:val="167"/>
        </w:trPr>
        <w:tc>
          <w:tcPr>
            <w:tcW w:w="64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Purchases of available-for-sale securities</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(173,563)</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400" w:type="dxa"/>
            <w:vAlign w:val="bottom"/>
          </w:tcPr>
          <w:p>
            <w:pPr>
              <w:ind w:left="260"/>
              <w:spacing w:after="0"/>
              <w:rPr>
                <w:sz w:val="20"/>
                <w:szCs w:val="20"/>
                <w:color w:val="auto"/>
              </w:rPr>
            </w:pPr>
            <w:r>
              <w:rPr>
                <w:rFonts w:ascii="Arial" w:cs="Arial" w:eastAsia="Arial" w:hAnsi="Arial"/>
                <w:sz w:val="14"/>
                <w:szCs w:val="14"/>
                <w:color w:val="auto"/>
              </w:rPr>
              <w:t>Maturities of available-for-sale securities</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152,740</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sales of available-for-sale securities</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9,988</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400" w:type="dxa"/>
            <w:vAlign w:val="bottom"/>
          </w:tcPr>
          <w:p>
            <w:pPr>
              <w:ind w:left="260"/>
              <w:spacing w:after="0"/>
              <w:rPr>
                <w:sz w:val="20"/>
                <w:szCs w:val="20"/>
                <w:color w:val="auto"/>
              </w:rPr>
            </w:pPr>
            <w:r>
              <w:rPr>
                <w:rFonts w:ascii="Arial" w:cs="Arial" w:eastAsia="Arial" w:hAnsi="Arial"/>
                <w:sz w:val="14"/>
                <w:szCs w:val="14"/>
                <w:color w:val="auto"/>
              </w:rPr>
              <w:t>Purchases of property and equipment</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(418)</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Principal payments received on stockholder note receivable</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7"/>
        </w:trPr>
        <w:tc>
          <w:tcPr>
            <w:tcW w:w="6400" w:type="dxa"/>
            <w:vAlign w:val="bottom"/>
            <w:tcBorders>
              <w:bottom w:val="single" w:sz="8" w:color="CFF0FC"/>
            </w:tcBorders>
          </w:tcPr>
          <w:p>
            <w:pPr>
              <w:ind w:left="740"/>
              <w:spacing w:after="0"/>
              <w:rPr>
                <w:sz w:val="20"/>
                <w:szCs w:val="20"/>
                <w:color w:val="auto"/>
              </w:rPr>
            </w:pPr>
            <w:r>
              <w:rPr>
                <w:rFonts w:ascii="Arial" w:cs="Arial" w:eastAsia="Arial" w:hAnsi="Arial"/>
                <w:sz w:val="14"/>
                <w:szCs w:val="14"/>
                <w:color w:val="auto"/>
              </w:rPr>
              <w:t>Net cash (used in) provided by investing activities</w:t>
            </w:r>
          </w:p>
        </w:tc>
        <w:tc>
          <w:tcPr>
            <w:tcW w:w="1320" w:type="dxa"/>
            <w:vAlign w:val="bottom"/>
            <w:tcBorders>
              <w:bottom w:val="single" w:sz="8" w:color="CFF0FC"/>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(11,253)</w:t>
            </w:r>
          </w:p>
        </w:tc>
        <w:tc>
          <w:tcPr>
            <w:tcW w:w="18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7"/>
        </w:trPr>
        <w:tc>
          <w:tcPr>
            <w:tcW w:w="64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Financing activities</w:t>
            </w:r>
          </w:p>
        </w:tc>
        <w:tc>
          <w:tcPr>
            <w:tcW w:w="13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400" w:type="dxa"/>
            <w:vAlign w:val="bottom"/>
          </w:tcPr>
          <w:p>
            <w:pPr>
              <w:ind w:left="260"/>
              <w:spacing w:after="0"/>
              <w:rPr>
                <w:sz w:val="20"/>
                <w:szCs w:val="20"/>
                <w:color w:val="auto"/>
              </w:rPr>
            </w:pPr>
            <w:r>
              <w:rPr>
                <w:rFonts w:ascii="Arial" w:cs="Arial" w:eastAsia="Arial" w:hAnsi="Arial"/>
                <w:sz w:val="14"/>
                <w:szCs w:val="14"/>
                <w:color w:val="auto"/>
              </w:rPr>
              <w:t>Proceeds from exercise of common stock options</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189</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79"/>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convertible preferred stock and common</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380"/>
              <w:spacing w:after="0" w:line="156" w:lineRule="exact"/>
              <w:rPr>
                <w:sz w:val="20"/>
                <w:szCs w:val="20"/>
                <w:color w:val="auto"/>
              </w:rPr>
            </w:pPr>
            <w:r>
              <w:rPr>
                <w:rFonts w:ascii="Arial" w:cs="Arial" w:eastAsia="Arial" w:hAnsi="Arial"/>
                <w:sz w:val="14"/>
                <w:szCs w:val="14"/>
                <w:color w:val="auto"/>
              </w:rPr>
              <w:t>stock warrants, net of issuance costs</w:t>
            </w:r>
          </w:p>
        </w:tc>
        <w:tc>
          <w:tcPr>
            <w:tcW w:w="13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9"/>
              <w:spacing w:after="0" w:line="156" w:lineRule="exact"/>
              <w:rPr>
                <w:sz w:val="20"/>
                <w:szCs w:val="20"/>
                <w:color w:val="auto"/>
              </w:rPr>
            </w:pPr>
            <w:r>
              <w:rPr>
                <w:rFonts w:ascii="Arial" w:cs="Arial" w:eastAsia="Arial" w:hAnsi="Arial"/>
                <w:sz w:val="14"/>
                <w:szCs w:val="14"/>
                <w:color w:val="auto"/>
              </w:rPr>
              <w:t>85,396</w:t>
            </w:r>
          </w:p>
        </w:tc>
        <w:tc>
          <w:tcPr>
            <w:tcW w:w="0" w:type="dxa"/>
            <w:vAlign w:val="bottom"/>
          </w:tcPr>
          <w:p>
            <w:pPr>
              <w:spacing w:after="0"/>
              <w:rPr>
                <w:sz w:val="1"/>
                <w:szCs w:val="1"/>
                <w:color w:val="auto"/>
              </w:rPr>
            </w:pPr>
          </w:p>
        </w:tc>
      </w:tr>
      <w:tr>
        <w:trPr>
          <w:trHeight w:val="174"/>
        </w:trPr>
        <w:tc>
          <w:tcPr>
            <w:tcW w:w="6400" w:type="dxa"/>
            <w:vAlign w:val="bottom"/>
          </w:tcPr>
          <w:p>
            <w:pPr>
              <w:ind w:left="260"/>
              <w:spacing w:after="0"/>
              <w:rPr>
                <w:sz w:val="20"/>
                <w:szCs w:val="20"/>
                <w:color w:val="auto"/>
              </w:rPr>
            </w:pPr>
            <w:r>
              <w:rPr>
                <w:rFonts w:ascii="Arial" w:cs="Arial" w:eastAsia="Arial" w:hAnsi="Arial"/>
                <w:sz w:val="14"/>
                <w:szCs w:val="14"/>
                <w:color w:val="auto"/>
              </w:rPr>
              <w:t>Proceeds from exercise of common stock warrants</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4"/>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follow-on public offering, net of issuance costs</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96,762</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6400" w:type="dxa"/>
            <w:vAlign w:val="bottom"/>
          </w:tcPr>
          <w:p>
            <w:pPr>
              <w:ind w:left="260"/>
              <w:spacing w:after="0"/>
              <w:rPr>
                <w:sz w:val="20"/>
                <w:szCs w:val="20"/>
                <w:color w:val="auto"/>
              </w:rPr>
            </w:pPr>
            <w:r>
              <w:rPr>
                <w:rFonts w:ascii="Arial" w:cs="Arial" w:eastAsia="Arial" w:hAnsi="Arial"/>
                <w:sz w:val="14"/>
                <w:szCs w:val="14"/>
                <w:color w:val="auto"/>
              </w:rPr>
              <w:t>Proceeds from issuance of convertible notes, including derivative,</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380"/>
              <w:spacing w:after="0" w:line="156" w:lineRule="exact"/>
              <w:rPr>
                <w:sz w:val="20"/>
                <w:szCs w:val="20"/>
                <w:color w:val="auto"/>
              </w:rPr>
            </w:pPr>
            <w:r>
              <w:rPr>
                <w:rFonts w:ascii="Arial" w:cs="Arial" w:eastAsia="Arial" w:hAnsi="Arial"/>
                <w:sz w:val="14"/>
                <w:szCs w:val="14"/>
                <w:color w:val="auto"/>
              </w:rPr>
              <w:t>net of issuance costs</w:t>
            </w: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020" w:type="dxa"/>
            <w:vAlign w:val="bottom"/>
          </w:tcPr>
          <w:p>
            <w:pPr>
              <w:spacing w:after="0"/>
              <w:rPr>
                <w:sz w:val="13"/>
                <w:szCs w:val="13"/>
                <w:color w:val="auto"/>
              </w:rPr>
            </w:pPr>
          </w:p>
        </w:tc>
        <w:tc>
          <w:tcPr>
            <w:tcW w:w="660" w:type="dxa"/>
            <w:vAlign w:val="bottom"/>
          </w:tcPr>
          <w:p>
            <w:pPr>
              <w:jc w:val="right"/>
              <w:ind w:right="69"/>
              <w:spacing w:after="0" w:line="156" w:lineRule="exact"/>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74"/>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of deferred offering costs</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67"/>
        </w:trPr>
        <w:tc>
          <w:tcPr>
            <w:tcW w:w="6400" w:type="dxa"/>
            <w:vAlign w:val="bottom"/>
            <w:tcBorders>
              <w:bottom w:val="single" w:sz="8" w:color="CFF0FC"/>
            </w:tcBorders>
          </w:tcPr>
          <w:p>
            <w:pPr>
              <w:ind w:left="740"/>
              <w:spacing w:after="0"/>
              <w:rPr>
                <w:sz w:val="20"/>
                <w:szCs w:val="20"/>
                <w:color w:val="auto"/>
              </w:rPr>
            </w:pPr>
            <w:r>
              <w:rPr>
                <w:rFonts w:ascii="Arial" w:cs="Arial" w:eastAsia="Arial" w:hAnsi="Arial"/>
                <w:sz w:val="14"/>
                <w:szCs w:val="14"/>
                <w:color w:val="auto"/>
              </w:rPr>
              <w:t>Net cash provided by financing activities</w:t>
            </w:r>
          </w:p>
        </w:tc>
        <w:tc>
          <w:tcPr>
            <w:tcW w:w="1320" w:type="dxa"/>
            <w:vAlign w:val="bottom"/>
            <w:tcBorders>
              <w:bottom w:val="single" w:sz="8" w:color="CFF0FC"/>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96,951</w:t>
            </w:r>
          </w:p>
        </w:tc>
        <w:tc>
          <w:tcPr>
            <w:tcW w:w="18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87,144</w:t>
            </w:r>
          </w:p>
        </w:tc>
        <w:tc>
          <w:tcPr>
            <w:tcW w:w="0" w:type="dxa"/>
            <w:vAlign w:val="bottom"/>
          </w:tcPr>
          <w:p>
            <w:pPr>
              <w:spacing w:after="0"/>
              <w:rPr>
                <w:sz w:val="1"/>
                <w:szCs w:val="1"/>
                <w:color w:val="auto"/>
              </w:rPr>
            </w:pPr>
          </w:p>
        </w:tc>
      </w:tr>
      <w:tr>
        <w:trPr>
          <w:trHeight w:val="167"/>
        </w:trPr>
        <w:tc>
          <w:tcPr>
            <w:tcW w:w="6400" w:type="dxa"/>
            <w:vAlign w:val="bottom"/>
            <w:shd w:val="clear" w:color="auto" w:fill="CFF0FC"/>
          </w:tcPr>
          <w:p>
            <w:pPr>
              <w:spacing w:after="0"/>
              <w:rPr>
                <w:sz w:val="20"/>
                <w:szCs w:val="20"/>
                <w:color w:val="auto"/>
              </w:rPr>
            </w:pPr>
            <w:r>
              <w:rPr>
                <w:rFonts w:ascii="Arial" w:cs="Arial" w:eastAsia="Arial" w:hAnsi="Arial"/>
                <w:sz w:val="14"/>
                <w:szCs w:val="14"/>
                <w:color w:val="auto"/>
              </w:rPr>
              <w:t>Net increase (decrease) in cash and cash equivalents</w:t>
            </w:r>
          </w:p>
        </w:tc>
        <w:tc>
          <w:tcPr>
            <w:tcW w:w="13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71,076</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83,110</w:t>
            </w:r>
          </w:p>
        </w:tc>
        <w:tc>
          <w:tcPr>
            <w:tcW w:w="0" w:type="dxa"/>
            <w:vAlign w:val="bottom"/>
          </w:tcPr>
          <w:p>
            <w:pPr>
              <w:spacing w:after="0"/>
              <w:rPr>
                <w:sz w:val="1"/>
                <w:szCs w:val="1"/>
                <w:color w:val="auto"/>
              </w:rPr>
            </w:pPr>
          </w:p>
        </w:tc>
      </w:tr>
      <w:tr>
        <w:trPr>
          <w:trHeight w:val="174"/>
        </w:trPr>
        <w:tc>
          <w:tcPr>
            <w:tcW w:w="6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and cash equivalents, beginning of period</w:t>
            </w:r>
          </w:p>
        </w:tc>
        <w:tc>
          <w:tcPr>
            <w:tcW w:w="132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60,625</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167"/>
        </w:trPr>
        <w:tc>
          <w:tcPr>
            <w:tcW w:w="640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end of period</w:t>
            </w:r>
          </w:p>
        </w:tc>
        <w:tc>
          <w:tcPr>
            <w:tcW w:w="2280" w:type="dxa"/>
            <w:vAlign w:val="bottom"/>
            <w:gridSpan w:val="2"/>
            <w:shd w:val="clear" w:color="auto" w:fill="CFF0FC"/>
          </w:tcPr>
          <w:p>
            <w:pPr>
              <w:jc w:val="right"/>
              <w:ind w:right="809"/>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131,701</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6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85,166</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3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40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offering costs included in accounts payable and</w:t>
            </w:r>
          </w:p>
        </w:tc>
        <w:tc>
          <w:tcPr>
            <w:tcW w:w="1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380"/>
              <w:spacing w:after="0" w:line="156" w:lineRule="exact"/>
              <w:rPr>
                <w:sz w:val="20"/>
                <w:szCs w:val="20"/>
                <w:color w:val="auto"/>
              </w:rPr>
            </w:pPr>
            <w:r>
              <w:rPr>
                <w:rFonts w:ascii="Arial" w:cs="Arial" w:eastAsia="Arial" w:hAnsi="Arial"/>
                <w:sz w:val="14"/>
                <w:szCs w:val="14"/>
                <w:color w:val="auto"/>
              </w:rPr>
              <w:t>accrued liabilities</w:t>
            </w:r>
          </w:p>
        </w:tc>
        <w:tc>
          <w:tcPr>
            <w:tcW w:w="2280" w:type="dxa"/>
            <w:vAlign w:val="bottom"/>
            <w:gridSpan w:val="2"/>
            <w:shd w:val="clear" w:color="auto" w:fill="CFF0FC"/>
          </w:tcPr>
          <w:p>
            <w:pPr>
              <w:jc w:val="right"/>
              <w:ind w:right="809"/>
              <w:spacing w:after="0" w:line="156"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69"/>
              <w:spacing w:after="0" w:line="156"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ind w:right="69"/>
              <w:spacing w:after="0" w:line="156"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Issuance costs for convertible preferred stock included in accounts</w:t>
            </w:r>
          </w:p>
        </w:tc>
        <w:tc>
          <w:tcPr>
            <w:tcW w:w="13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40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380"/>
              <w:spacing w:after="0" w:line="156" w:lineRule="exact"/>
              <w:rPr>
                <w:sz w:val="20"/>
                <w:szCs w:val="20"/>
                <w:color w:val="auto"/>
              </w:rPr>
            </w:pPr>
            <w:r>
              <w:rPr>
                <w:rFonts w:ascii="Arial" w:cs="Arial" w:eastAsia="Arial" w:hAnsi="Arial"/>
                <w:sz w:val="14"/>
                <w:szCs w:val="14"/>
                <w:color w:val="auto"/>
              </w:rPr>
              <w:t>payable and accrued liabilities</w:t>
            </w:r>
          </w:p>
        </w:tc>
        <w:tc>
          <w:tcPr>
            <w:tcW w:w="2280" w:type="dxa"/>
            <w:vAlign w:val="bottom"/>
            <w:gridSpan w:val="2"/>
          </w:tcPr>
          <w:p>
            <w:pPr>
              <w:jc w:val="right"/>
              <w:ind w:right="809"/>
              <w:spacing w:after="0" w:line="156"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69"/>
              <w:spacing w:after="0" w:line="156"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69"/>
              <w:spacing w:after="0" w:line="156" w:lineRule="exact"/>
              <w:rPr>
                <w:sz w:val="20"/>
                <w:szCs w:val="20"/>
                <w:color w:val="auto"/>
              </w:rPr>
            </w:pPr>
            <w:r>
              <w:rPr>
                <w:rFonts w:ascii="Arial" w:cs="Arial" w:eastAsia="Arial" w:hAnsi="Arial"/>
                <w:sz w:val="14"/>
                <w:szCs w:val="14"/>
                <w:color w:val="auto"/>
              </w:rPr>
              <w:t>3,470</w:t>
            </w:r>
          </w:p>
        </w:tc>
        <w:tc>
          <w:tcPr>
            <w:tcW w:w="0" w:type="dxa"/>
            <w:vAlign w:val="bottom"/>
          </w:tcPr>
          <w:p>
            <w:pPr>
              <w:spacing w:after="0"/>
              <w:rPr>
                <w:sz w:val="1"/>
                <w:szCs w:val="1"/>
                <w:color w:val="auto"/>
              </w:rPr>
            </w:pPr>
          </w:p>
        </w:tc>
      </w:tr>
      <w:tr>
        <w:trPr>
          <w:trHeight w:val="159"/>
        </w:trPr>
        <w:tc>
          <w:tcPr>
            <w:tcW w:w="6400" w:type="dxa"/>
            <w:vAlign w:val="bottom"/>
            <w:tcBorders>
              <w:top w:val="single" w:sz="8" w:color="CFF0FC"/>
            </w:tcBorders>
            <w:shd w:val="clear" w:color="auto" w:fill="CFF0FC"/>
          </w:tcPr>
          <w:p>
            <w:pPr>
              <w:ind w:left="260"/>
              <w:spacing w:after="0" w:line="159" w:lineRule="exact"/>
              <w:rPr>
                <w:sz w:val="20"/>
                <w:szCs w:val="20"/>
                <w:color w:val="auto"/>
              </w:rPr>
            </w:pPr>
            <w:r>
              <w:rPr>
                <w:rFonts w:ascii="Arial" w:cs="Arial" w:eastAsia="Arial" w:hAnsi="Arial"/>
                <w:sz w:val="14"/>
                <w:szCs w:val="14"/>
                <w:color w:val="auto"/>
              </w:rPr>
              <w:t>Allocation of proceeds to common stock warrants issued in Series B</w:t>
            </w:r>
          </w:p>
        </w:tc>
        <w:tc>
          <w:tcPr>
            <w:tcW w:w="13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ind w:left="380"/>
              <w:spacing w:after="0" w:line="156" w:lineRule="exact"/>
              <w:rPr>
                <w:sz w:val="20"/>
                <w:szCs w:val="20"/>
                <w:color w:val="auto"/>
              </w:rPr>
            </w:pPr>
            <w:r>
              <w:rPr>
                <w:rFonts w:ascii="Arial" w:cs="Arial" w:eastAsia="Arial" w:hAnsi="Arial"/>
                <w:sz w:val="14"/>
                <w:szCs w:val="14"/>
                <w:color w:val="auto"/>
              </w:rPr>
              <w:t>convertible preferred stock financing</w:t>
            </w:r>
          </w:p>
        </w:tc>
        <w:tc>
          <w:tcPr>
            <w:tcW w:w="2280" w:type="dxa"/>
            <w:vAlign w:val="bottom"/>
            <w:gridSpan w:val="2"/>
            <w:shd w:val="clear" w:color="auto" w:fill="CFF0FC"/>
          </w:tcPr>
          <w:p>
            <w:pPr>
              <w:jc w:val="right"/>
              <w:ind w:right="809"/>
              <w:spacing w:after="0" w:line="156"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69"/>
              <w:spacing w:after="0" w:line="156"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ind w:right="69"/>
              <w:spacing w:after="0" w:line="156" w:lineRule="exact"/>
              <w:rPr>
                <w:sz w:val="20"/>
                <w:szCs w:val="20"/>
                <w:color w:val="auto"/>
              </w:rPr>
            </w:pPr>
            <w:r>
              <w:rPr>
                <w:rFonts w:ascii="Arial" w:cs="Arial" w:eastAsia="Arial" w:hAnsi="Arial"/>
                <w:sz w:val="14"/>
                <w:szCs w:val="14"/>
                <w:color w:val="auto"/>
              </w:rPr>
              <w:t>10,591</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Issuance of Series B-1 preferred stock upon conversion of</w:t>
            </w:r>
          </w:p>
        </w:tc>
        <w:tc>
          <w:tcPr>
            <w:tcW w:w="13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40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380"/>
              <w:spacing w:after="0" w:line="156" w:lineRule="exact"/>
              <w:rPr>
                <w:sz w:val="20"/>
                <w:szCs w:val="20"/>
                <w:color w:val="auto"/>
              </w:rPr>
            </w:pPr>
            <w:r>
              <w:rPr>
                <w:rFonts w:ascii="Arial" w:cs="Arial" w:eastAsia="Arial" w:hAnsi="Arial"/>
                <w:sz w:val="14"/>
                <w:szCs w:val="14"/>
                <w:color w:val="auto"/>
              </w:rPr>
              <w:t>promissory notes</w:t>
            </w:r>
          </w:p>
        </w:tc>
        <w:tc>
          <w:tcPr>
            <w:tcW w:w="2280" w:type="dxa"/>
            <w:vAlign w:val="bottom"/>
            <w:gridSpan w:val="2"/>
          </w:tcPr>
          <w:p>
            <w:pPr>
              <w:jc w:val="right"/>
              <w:ind w:right="809"/>
              <w:spacing w:after="0" w:line="156"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69"/>
              <w:spacing w:after="0" w:line="156"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69"/>
              <w:spacing w:after="0" w:line="156" w:lineRule="exact"/>
              <w:rPr>
                <w:sz w:val="20"/>
                <w:szCs w:val="20"/>
                <w:color w:val="auto"/>
              </w:rPr>
            </w:pPr>
            <w:r>
              <w:rPr>
                <w:rFonts w:ascii="Arial" w:cs="Arial" w:eastAsia="Arial" w:hAnsi="Arial"/>
                <w:sz w:val="14"/>
                <w:szCs w:val="14"/>
                <w:color w:val="auto"/>
              </w:rPr>
              <w:t>4,515</w:t>
            </w:r>
          </w:p>
        </w:tc>
        <w:tc>
          <w:tcPr>
            <w:tcW w:w="0" w:type="dxa"/>
            <w:vAlign w:val="bottom"/>
          </w:tcPr>
          <w:p>
            <w:pPr>
              <w:spacing w:after="0"/>
              <w:rPr>
                <w:sz w:val="1"/>
                <w:szCs w:val="1"/>
                <w:color w:val="auto"/>
              </w:rPr>
            </w:pPr>
          </w:p>
        </w:tc>
      </w:tr>
      <w:tr>
        <w:trPr>
          <w:trHeight w:val="159"/>
        </w:trPr>
        <w:tc>
          <w:tcPr>
            <w:tcW w:w="6400" w:type="dxa"/>
            <w:vAlign w:val="bottom"/>
            <w:tcBorders>
              <w:top w:val="single" w:sz="8" w:color="CFF0FC"/>
            </w:tcBorders>
            <w:shd w:val="clear" w:color="auto" w:fill="CFF0FC"/>
          </w:tcPr>
          <w:p>
            <w:pPr>
              <w:ind w:left="260"/>
              <w:spacing w:after="0" w:line="159" w:lineRule="exact"/>
              <w:rPr>
                <w:sz w:val="20"/>
                <w:szCs w:val="20"/>
                <w:color w:val="auto"/>
              </w:rPr>
            </w:pPr>
            <w:r>
              <w:rPr>
                <w:rFonts w:ascii="Arial" w:cs="Arial" w:eastAsia="Arial" w:hAnsi="Arial"/>
                <w:sz w:val="14"/>
                <w:szCs w:val="14"/>
                <w:color w:val="auto"/>
              </w:rPr>
              <w:t>Recognition of warrant liability in connection with Series B convertible</w:t>
            </w:r>
          </w:p>
        </w:tc>
        <w:tc>
          <w:tcPr>
            <w:tcW w:w="13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Borders>
              <w:bottom w:val="single" w:sz="8" w:color="CFF0FC"/>
            </w:tcBorders>
            <w:shd w:val="clear" w:color="auto" w:fill="CFF0FC"/>
          </w:tcPr>
          <w:p>
            <w:pPr>
              <w:ind w:left="380"/>
              <w:spacing w:after="0" w:line="156" w:lineRule="exact"/>
              <w:rPr>
                <w:sz w:val="20"/>
                <w:szCs w:val="20"/>
                <w:color w:val="auto"/>
              </w:rPr>
            </w:pPr>
            <w:r>
              <w:rPr>
                <w:rFonts w:ascii="Arial" w:cs="Arial" w:eastAsia="Arial" w:hAnsi="Arial"/>
                <w:sz w:val="14"/>
                <w:szCs w:val="14"/>
                <w:color w:val="auto"/>
              </w:rPr>
              <w:t>preferred stock financing</w:t>
            </w:r>
          </w:p>
        </w:tc>
        <w:tc>
          <w:tcPr>
            <w:tcW w:w="13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809"/>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49"/>
              <w:spacing w:after="0" w:line="156"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869"/>
              <w:spacing w:after="0" w:line="156"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ind w:right="69"/>
              <w:spacing w:after="0" w:line="156"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400" w:type="dxa"/>
            <w:vAlign w:val="bottom"/>
            <w:tcBorders>
              <w:bottom w:val="single" w:sz="8" w:color="CFF0FC"/>
            </w:tcBorders>
          </w:tcPr>
          <w:p>
            <w:pPr>
              <w:ind w:left="260"/>
              <w:spacing w:after="0" w:line="154" w:lineRule="exact"/>
              <w:rPr>
                <w:sz w:val="20"/>
                <w:szCs w:val="20"/>
                <w:color w:val="auto"/>
              </w:rPr>
            </w:pPr>
            <w:r>
              <w:rPr>
                <w:rFonts w:ascii="Arial" w:cs="Arial" w:eastAsia="Arial" w:hAnsi="Arial"/>
                <w:sz w:val="14"/>
                <w:szCs w:val="14"/>
                <w:color w:val="auto"/>
              </w:rPr>
              <w:t>Recognition of derivative liability upon issuance of convertible notes</w:t>
            </w:r>
          </w:p>
        </w:tc>
        <w:tc>
          <w:tcPr>
            <w:tcW w:w="1320" w:type="dxa"/>
            <w:vAlign w:val="bottom"/>
            <w:tcBorders>
              <w:bottom w:val="single" w:sz="8" w:color="CFF0FC"/>
            </w:tcBorders>
          </w:tcPr>
          <w:p>
            <w:pPr>
              <w:spacing w:after="0"/>
              <w:rPr>
                <w:sz w:val="16"/>
                <w:szCs w:val="16"/>
                <w:color w:val="auto"/>
              </w:rPr>
            </w:pPr>
          </w:p>
        </w:tc>
        <w:tc>
          <w:tcPr>
            <w:tcW w:w="960" w:type="dxa"/>
            <w:vAlign w:val="bottom"/>
            <w:tcBorders>
              <w:bottom w:val="single" w:sz="8" w:color="auto"/>
            </w:tcBorders>
          </w:tcPr>
          <w:p>
            <w:pPr>
              <w:jc w:val="right"/>
              <w:ind w:right="809"/>
              <w:spacing w:after="0" w:line="154"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jc w:val="right"/>
              <w:ind w:right="869"/>
              <w:spacing w:after="0" w:line="154"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54"/>
        </w:trPr>
        <w:tc>
          <w:tcPr>
            <w:tcW w:w="6400" w:type="dxa"/>
            <w:vAlign w:val="bottom"/>
            <w:shd w:val="clear" w:color="auto" w:fill="CFF0FC"/>
          </w:tcPr>
          <w:p>
            <w:pPr>
              <w:ind w:left="260"/>
              <w:spacing w:after="0" w:line="154" w:lineRule="exact"/>
              <w:rPr>
                <w:sz w:val="20"/>
                <w:szCs w:val="20"/>
                <w:color w:val="auto"/>
              </w:rPr>
            </w:pPr>
            <w:r>
              <w:rPr>
                <w:rFonts w:ascii="Arial" w:cs="Arial" w:eastAsia="Arial" w:hAnsi="Arial"/>
                <w:sz w:val="14"/>
                <w:szCs w:val="14"/>
                <w:color w:val="auto"/>
              </w:rPr>
              <w:t>Right-of-use asset obtained in exchange for new operating lease liability</w:t>
            </w:r>
          </w:p>
        </w:tc>
        <w:tc>
          <w:tcPr>
            <w:tcW w:w="2280" w:type="dxa"/>
            <w:vAlign w:val="bottom"/>
            <w:gridSpan w:val="2"/>
            <w:shd w:val="clear" w:color="auto" w:fill="CFF0FC"/>
          </w:tcPr>
          <w:p>
            <w:pPr>
              <w:jc w:val="right"/>
              <w:ind w:right="809"/>
              <w:spacing w:after="0" w:line="154"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9"/>
              <w:spacing w:after="0" w:line="154" w:lineRule="exact"/>
              <w:rPr>
                <w:sz w:val="20"/>
                <w:szCs w:val="20"/>
                <w:color w:val="auto"/>
              </w:rPr>
            </w:pPr>
            <w:r>
              <w:rPr>
                <w:rFonts w:ascii="Arial" w:cs="Arial" w:eastAsia="Arial" w:hAnsi="Arial"/>
                <w:sz w:val="14"/>
                <w:szCs w:val="14"/>
                <w:color w:val="auto"/>
              </w:rPr>
              <w:t>680</w:t>
            </w: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69"/>
              <w:spacing w:after="0" w:line="154"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ind w:right="69"/>
              <w:spacing w:after="0" w:line="15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25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Bothell and Seattle, Washington. The Company is a late clinical-stage biopharmaceutical company focused on developing small molecules to restore neuronal health and stop neurodegeneration.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7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January 2021, the Company completed a follow-on public offering of its common stock. As part of the follow-on offering, the Company issued and sold 4,000,000 shares of its common stock at a public offering price of $22.50 per share. The Company received net proceeds of approximately $84.1 million from the follow-on offering, after deducting underwriting discounts and commissions and offering costs. In February 2021, the Company sold an additional 600,000 shares of common stock to the underwriters of the follow-on public offering upon full exercise of the underwriters’ option to purchase additional shares at the follow-on public offering price of $22.50 per share, less underwriting discounts and commissions and offering costs resulting in net proceeds to the Company of approximately $12.7 million.</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7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June 30, 2021, it has raised aggregate net cash proceeds of $407.4 million primarily from the issuance of its common stock, convertible preferred stock, common stock warrants, and convertible notes. As of June 30, 2021, the Company had $349.9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24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Based upon the Company’s current operating plan, it estimates that its $349.9 million of cash, cash equivalents, and investments at June 30, 2021 will be sufficient to fund its operating expenses and capital expenditure requirements through at least the 12 months following the date of this Quarterly Report on Form 10-Q.</w:t>
      </w:r>
    </w:p>
    <w:p>
      <w:pPr>
        <w:spacing w:after="0" w:line="247" w:lineRule="exact"/>
        <w:rPr>
          <w:sz w:val="20"/>
          <w:szCs w:val="20"/>
          <w:color w:val="auto"/>
        </w:rPr>
      </w:pPr>
    </w:p>
    <w:p>
      <w:pPr>
        <w:jc w:val="center"/>
        <w:ind w:right="8380"/>
        <w:spacing w:after="0"/>
        <w:rPr>
          <w:sz w:val="20"/>
          <w:szCs w:val="20"/>
          <w:color w:val="auto"/>
        </w:rPr>
      </w:pPr>
      <w:r>
        <w:rPr>
          <w:rFonts w:ascii="Arial" w:cs="Arial" w:eastAsia="Arial" w:hAnsi="Arial"/>
          <w:sz w:val="17"/>
          <w:szCs w:val="17"/>
          <w:b w:val="1"/>
          <w:bCs w:val="1"/>
          <w:color w:val="auto"/>
        </w:rPr>
        <w:t>2. Significant Accounting Policies</w:t>
      </w:r>
    </w:p>
    <w:p>
      <w:pPr>
        <w:spacing w:after="0" w:line="2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consolidated financial statements have been prepared in conformity with U.S. generally accepted accounting principles (“U.S. GAAP”). During the third quarter of 2020, the Company incorporated Athira Pharma Australia PTY LTD in Australia and since its creation, the Australian subsidiary’s financial position and results of operations are consolidated in the accompanying consolidated financial statements.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7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accompanying unaudited condensed balance sheet as of June 30, 2021, and condensed statements of operations and comprehensive loss, condensed statements of cash flows, and condensed statements of convertible preferred stock and stockholders’ deficit for the three and six months ended June 30, 2021 and 2020, are unaudited. The balance sheet as of December 31, 2020 was derived from the audited financial statements as of and for the year ended December 31, 2020. The unaudited interim condensed financial statements have been prepared on a basis consistent with the audited annual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 w:name="page10"/>
    <w:bookmarkEnd w:id="9"/>
    <w:p>
      <w:pPr>
        <w:jc w:val="both"/>
        <w:spacing w:after="0" w:line="234" w:lineRule="auto"/>
        <w:rPr>
          <w:sz w:val="20"/>
          <w:szCs w:val="20"/>
          <w:color w:val="auto"/>
        </w:rPr>
      </w:pPr>
      <w:r>
        <w:rPr>
          <w:rFonts w:ascii="Arial" w:cs="Arial" w:eastAsia="Arial" w:hAnsi="Arial"/>
          <w:sz w:val="18"/>
          <w:szCs w:val="18"/>
          <w:color w:val="auto"/>
        </w:rPr>
        <w:t>financial statements as of and for the year ended December 31, 2020, and, in the opinion of management, reflect all adjustments, consisting solely of normal recurring adjustments, necessary for the fair presentation of the Company’s financial position as of June 30, 2021, and the condensed results of its operations and its cash flows for the three and six months ended June 30, 2021 and 2020. The financial data and other information disclosed in these notes related to the three and six months ended June 30, 2021 and 2020 are also unaudited. The condensed results of operations for the three and six months ended June 30, 2021 are not necessarily indicative of the results to be expected for the full year ending December 31, 2021 or any other period. These interim condensed consolidated financial statements should be read in conjunction with the Company’s audited financial statements as of and for the year ended December 31, 2020 included in its Annual Report on Form 10-K filed with the SEC on March 25, 2021.</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7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carrying amounts of certain financial instruments, including cash, cash equivalents, investments, accounts payable and accrued expenses approximate their fair values due to the short-term nature of those amounts. The fair values of the grant liability to Washington Life Sciences Discovery Fund (“LSDF”), currently managed by the Washington State Department of Commerce, the derivative liability, and the convertible preferred stock warrant liability were estimated using level 3 unobservable inputs.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256"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Freestanding warrants to purchase shares of the Company’s convertible preferred stock were accounted for as liabilities at fair value, because the shares underlying the warrants contained contingent 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The Company adjusted the liability for the final change in the fair value of these warrants immediately preceding their automatic exercise in connection with the Company’s initial public offering (“IPO”). Subsequent to the Company’s IPO, the corresponding liability was reclassified to additional paid in capital.</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Income</w:t>
      </w:r>
    </w:p>
    <w:p>
      <w:pPr>
        <w:spacing w:after="0" w:line="270" w:lineRule="exact"/>
        <w:rPr>
          <w:sz w:val="20"/>
          <w:szCs w:val="20"/>
          <w:color w:val="auto"/>
        </w:rPr>
      </w:pPr>
    </w:p>
    <w:p>
      <w:pPr>
        <w:jc w:val="both"/>
        <w:ind w:right="20" w:firstLine="510"/>
        <w:spacing w:after="0" w:line="239" w:lineRule="auto"/>
        <w:rPr>
          <w:sz w:val="20"/>
          <w:szCs w:val="20"/>
          <w:color w:val="auto"/>
        </w:rPr>
      </w:pPr>
      <w:r>
        <w:rPr>
          <w:rFonts w:ascii="Arial" w:cs="Arial" w:eastAsia="Arial" w:hAnsi="Arial"/>
          <w:sz w:val="18"/>
          <w:szCs w:val="18"/>
          <w:color w:val="auto"/>
        </w:rPr>
        <w:t>Grant income in the accompanying statements of operations consisted of the following for the three and six-month periods ended June 30, 2021 and June 30, 2020 (in thousands):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74"/>
        </w:trPr>
        <w:tc>
          <w:tcPr>
            <w:tcW w:w="3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7"/>
        </w:trPr>
        <w:tc>
          <w:tcPr>
            <w:tcW w:w="354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07"/>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Alzheimer's Association Part the Cloud</w:t>
            </w: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3540" w:type="dxa"/>
            <w:vAlign w:val="bottom"/>
            <w:shd w:val="clear" w:color="auto" w:fill="CFF0FC"/>
          </w:tcPr>
          <w:p>
            <w:pPr>
              <w:ind w:left="140"/>
              <w:spacing w:after="0" w:line="201" w:lineRule="exact"/>
              <w:rPr>
                <w:sz w:val="20"/>
                <w:szCs w:val="20"/>
                <w:color w:val="auto"/>
              </w:rPr>
            </w:pPr>
            <w:r>
              <w:rPr>
                <w:rFonts w:ascii="Arial" w:cs="Arial" w:eastAsia="Arial" w:hAnsi="Arial"/>
                <w:sz w:val="18"/>
                <w:szCs w:val="18"/>
                <w:color w:val="auto"/>
              </w:rPr>
              <w:t>Research Grant</w:t>
            </w:r>
          </w:p>
        </w:tc>
        <w:tc>
          <w:tcPr>
            <w:tcW w:w="620" w:type="dxa"/>
            <w:vAlign w:val="bottom"/>
            <w:gridSpan w:val="2"/>
            <w:shd w:val="clear" w:color="auto" w:fill="CFF0FC"/>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437"/>
              <w:spacing w:after="0" w:line="201"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FF0FC"/>
          </w:tcPr>
          <w:p>
            <w:pPr>
              <w:ind w:left="20"/>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7"/>
                <w:szCs w:val="17"/>
                <w:color w:val="auto"/>
              </w:rPr>
            </w:pPr>
          </w:p>
        </w:tc>
      </w:tr>
      <w:tr>
        <w:trPr>
          <w:trHeight w:val="214"/>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National Institutes of Health Grant</w:t>
            </w:r>
          </w:p>
        </w:tc>
        <w:tc>
          <w:tcPr>
            <w:tcW w:w="4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6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07"/>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Total grant income</w:t>
            </w: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8"/>
                <w:szCs w:val="18"/>
                <w:color w:val="auto"/>
              </w:rPr>
            </w:pPr>
          </w:p>
        </w:tc>
      </w:tr>
      <w:tr>
        <w:trPr>
          <w:trHeight w:val="20"/>
        </w:trPr>
        <w:tc>
          <w:tcPr>
            <w:tcW w:w="35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recorded in the accompanying balance sheets as receivables from these granting agencies were as follows (in thousands):</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98"/>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53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r>
      <w:tr>
        <w:trPr>
          <w:trHeight w:val="20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Alzheimer's Association Part the Cloud Research</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5360" w:type="dxa"/>
            <w:vAlign w:val="bottom"/>
            <w:shd w:val="clear" w:color="auto" w:fill="CFF0FC"/>
          </w:tcPr>
          <w:p>
            <w:pPr>
              <w:ind w:left="140"/>
              <w:spacing w:after="0" w:line="201" w:lineRule="exact"/>
              <w:rPr>
                <w:sz w:val="20"/>
                <w:szCs w:val="20"/>
                <w:color w:val="auto"/>
              </w:rPr>
            </w:pPr>
            <w:r>
              <w:rPr>
                <w:rFonts w:ascii="Arial" w:cs="Arial" w:eastAsia="Arial" w:hAnsi="Arial"/>
                <w:sz w:val="18"/>
                <w:szCs w:val="18"/>
                <w:color w:val="auto"/>
              </w:rPr>
              <w:t>Grant</w:t>
            </w:r>
          </w:p>
        </w:tc>
        <w:tc>
          <w:tcPr>
            <w:tcW w:w="1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9"/>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224</w:t>
            </w:r>
          </w:p>
        </w:tc>
        <w:tc>
          <w:tcPr>
            <w:tcW w:w="80" w:type="dxa"/>
            <w:vAlign w:val="bottom"/>
            <w:shd w:val="clear" w:color="auto" w:fill="CFF0FC"/>
          </w:tcPr>
          <w:p>
            <w:pPr>
              <w:spacing w:after="0"/>
              <w:rPr>
                <w:sz w:val="17"/>
                <w:szCs w:val="17"/>
                <w:color w:val="auto"/>
              </w:rPr>
            </w:pPr>
          </w:p>
        </w:tc>
      </w:tr>
      <w:tr>
        <w:trPr>
          <w:trHeight w:val="214"/>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National Institutes of Health Grant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80" w:type="dxa"/>
            <w:vAlign w:val="bottom"/>
            <w:tcBorders>
              <w:bottom w:val="single" w:sz="8" w:color="CFF0FC"/>
            </w:tcBorders>
          </w:tcPr>
          <w:p>
            <w:pPr>
              <w:spacing w:after="0"/>
              <w:rPr>
                <w:sz w:val="18"/>
                <w:szCs w:val="18"/>
                <w:color w:val="auto"/>
              </w:rPr>
            </w:pPr>
          </w:p>
        </w:tc>
      </w:tr>
      <w:tr>
        <w:trPr>
          <w:trHeight w:val="20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grant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44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FF0FC"/>
          </w:tcPr>
          <w:p>
            <w:pPr>
              <w:spacing w:after="0"/>
              <w:rPr>
                <w:sz w:val="18"/>
                <w:szCs w:val="18"/>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8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 January 2019, the Alzheimer’s Association awarded the Company a $1.0 million Part the Cloud research grant. Grant proceeds must be used to advance the Company’s ATH-1017 product candidate in the Alzheimer’s disease setting. Reporting of expenses incurred supported by the grant as well as research updates are sent to the Alzheimer’s Association semi-annually. Under the terms of the agreement, the Company received $776,000 in 2019 and received the remaining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jc w:val="both"/>
        <w:spacing w:after="0" w:line="239" w:lineRule="auto"/>
        <w:rPr>
          <w:sz w:val="20"/>
          <w:szCs w:val="20"/>
          <w:color w:val="auto"/>
        </w:rPr>
      </w:pPr>
      <w:r>
        <w:rPr>
          <w:rFonts w:ascii="Arial" w:cs="Arial" w:eastAsia="Arial" w:hAnsi="Arial"/>
          <w:sz w:val="18"/>
          <w:szCs w:val="18"/>
          <w:color w:val="auto"/>
        </w:rPr>
        <w:t>$224,000 in March 2021 after having completed certain development milestones in October 2020. The Company recognized income related to the Part the Cloud research grant as qualifying expenses under the grant agreement were incurred.</w:t>
      </w:r>
    </w:p>
    <w:p>
      <w:pPr>
        <w:spacing w:after="0" w:line="243"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In December 2020, the Company accepted a grant from the National Institute on Aging (“NIA”) of the National Institutes of Health (“NIH”) to support its ACT-AD Phase 2 clinical trial for ATH-1017, the Company’s lead therapeutic candidate being developed for the treatment of individuals with mild-to-moderate Alzheimer’s disease. Under the terms of the agreement, the Company may potentially receive $ 7.8 million with the potential for an additional $7.4 million, up to an aggregate of $15.2 million. The Company recognizes income related to the NIH grant as qualifying expenses under the grant agreement are incurred. The Company received cash of $2.9 million related to the NIH grant during the three and six months ended June 30, 2021. In August 2021, the Company received cash of $2.6 million from the NIH pertaining to the unbilled grant receivable balance as of June 30, 2021.</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27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loss. Realized gains and losses on the sale of these securities are recognized in net loss.</w:t>
      </w:r>
    </w:p>
    <w:p>
      <w:pPr>
        <w:spacing w:after="0" w:line="242"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investment until a forecasted recovery occurs. Additionally, the Company assesses whether it has plans to sell the security or it is more likely than not it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6"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46"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3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 xml:space="preserve">The Company adopted Accounting Standards Codification (“ASC”) </w:t>
      </w:r>
      <w:r>
        <w:rPr>
          <w:rFonts w:ascii="Arial" w:cs="Arial" w:eastAsia="Arial" w:hAnsi="Arial"/>
          <w:sz w:val="18"/>
          <w:szCs w:val="18"/>
          <w:i w:val="1"/>
          <w:iCs w:val="1"/>
          <w:color w:val="auto"/>
        </w:rPr>
        <w:t>Topic 842 - Leases</w:t>
      </w:r>
      <w:r>
        <w:rPr>
          <w:rFonts w:ascii="Arial" w:cs="Arial" w:eastAsia="Arial" w:hAnsi="Arial"/>
          <w:sz w:val="18"/>
          <w:szCs w:val="18"/>
          <w:color w:val="auto"/>
        </w:rPr>
        <w:t>, on July 1, 2020,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243"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spacing w:after="0" w:line="24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22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229"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42"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Company adopted Accounting Standards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5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color w:val="auto"/>
        </w:rPr>
        <w:t>Segments</w:t>
      </w:r>
    </w:p>
    <w:p>
      <w:pPr>
        <w:spacing w:after="0" w:line="25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currently its chief operating officer, reviews financial information on an aggregate basis for the purpose of allocating resources.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7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52"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spacing w:after="0" w:line="231"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Although there were several other new accounting pronouncements issued or proposed by the FASB, the Company does not believe any of these have had or will have material impact on its condensed consolidated financial statements.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w:t>
      </w:r>
    </w:p>
    <w:p>
      <w:pPr>
        <w:spacing w:after="0" w:line="256"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78"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60"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60"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23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13" w:name="page14"/>
    <w:bookmarkEnd w:id="13"/>
    <w:p>
      <w:pPr>
        <w:jc w:val="both"/>
        <w:ind w:right="20" w:firstLine="510"/>
        <w:spacing w:after="0" w:line="239" w:lineRule="auto"/>
        <w:rPr>
          <w:sz w:val="20"/>
          <w:szCs w:val="20"/>
          <w:color w:val="auto"/>
        </w:rPr>
      </w:pPr>
      <w:r>
        <w:rPr>
          <w:rFonts w:ascii="Arial" w:cs="Arial" w:eastAsia="Arial" w:hAnsi="Arial"/>
          <w:sz w:val="18"/>
          <w:szCs w:val="18"/>
          <w:color w:val="auto"/>
        </w:rPr>
        <w:t>The following tables reflect the Company’s financial asset balances measured on a recurring basis as of June 30, 2021 and December 31,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4"/>
              <w:spacing w:after="0" w:line="154"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60"/>
              <w:spacing w:after="0" w:line="154"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120" w:type="dxa"/>
            <w:vAlign w:val="bottom"/>
            <w:gridSpan w:val="3"/>
          </w:tcPr>
          <w:p>
            <w:pPr>
              <w:jc w:val="center"/>
              <w:ind w:right="360"/>
              <w:spacing w:after="0" w:line="154"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3"/>
                <w:szCs w:val="13"/>
                <w:color w:val="auto"/>
              </w:rPr>
            </w:pPr>
          </w:p>
        </w:tc>
        <w:tc>
          <w:tcPr>
            <w:tcW w:w="92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74"/>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7"/>
        </w:trPr>
        <w:tc>
          <w:tcPr>
            <w:tcW w:w="506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60" w:type="dxa"/>
            <w:vAlign w:val="bottom"/>
          </w:tcPr>
          <w:p>
            <w:pPr>
              <w:ind w:left="260"/>
              <w:spacing w:after="0"/>
              <w:rPr>
                <w:sz w:val="20"/>
                <w:szCs w:val="20"/>
                <w:color w:val="auto"/>
              </w:rPr>
            </w:pPr>
            <w:r>
              <w:rPr>
                <w:rFonts w:ascii="Arial" w:cs="Arial" w:eastAsia="Arial" w:hAnsi="Arial"/>
                <w:sz w:val="18"/>
                <w:szCs w:val="18"/>
                <w:color w:val="auto"/>
              </w:rPr>
              <w:t>Money market fund</w:t>
            </w:r>
          </w:p>
        </w:tc>
        <w:tc>
          <w:tcPr>
            <w:tcW w:w="124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119,417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240" w:type="dxa"/>
            <w:vAlign w:val="bottom"/>
            <w:gridSpan w:val="2"/>
            <w:shd w:val="clear" w:color="auto" w:fill="CFF0FC"/>
          </w:tcPr>
          <w:p>
            <w:pPr>
              <w:jc w:val="center"/>
              <w:ind w:left="11"/>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gridSpan w:val="2"/>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6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120,417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120,417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060" w:type="dxa"/>
            <w:vAlign w:val="bottom"/>
            <w:tcBorders>
              <w:top w:val="single" w:sz="8" w:color="CFF0FC"/>
              <w:bottom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24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103,680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060" w:type="dxa"/>
            <w:vAlign w:val="bottom"/>
            <w:shd w:val="clear" w:color="auto" w:fill="CFF0FC"/>
          </w:tcPr>
          <w:p>
            <w:pPr>
              <w:ind w:left="400"/>
              <w:spacing w:after="0" w:line="201" w:lineRule="exact"/>
              <w:rPr>
                <w:sz w:val="20"/>
                <w:szCs w:val="20"/>
                <w:color w:val="auto"/>
              </w:rPr>
            </w:pPr>
            <w:r>
              <w:rPr>
                <w:rFonts w:ascii="Arial" w:cs="Arial" w:eastAsia="Arial" w:hAnsi="Arial"/>
                <w:sz w:val="18"/>
                <w:szCs w:val="18"/>
                <w:color w:val="auto"/>
              </w:rPr>
              <w:t>securities</w:t>
            </w:r>
          </w:p>
        </w:tc>
        <w:tc>
          <w:tcPr>
            <w:tcW w:w="1240" w:type="dxa"/>
            <w:vAlign w:val="bottom"/>
            <w:gridSpan w:val="2"/>
            <w:shd w:val="clear" w:color="auto" w:fill="CFF0FC"/>
          </w:tcPr>
          <w:p>
            <w:pPr>
              <w:jc w:val="center"/>
              <w:ind w:left="11"/>
              <w:spacing w:after="0" w:line="201"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39,534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39,549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6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24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153,218</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Long-term investments:</w:t>
            </w: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12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8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8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90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8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60" w:type="dxa"/>
            <w:vAlign w:val="bottom"/>
            <w:shd w:val="clear" w:color="auto" w:fill="CFF0FC"/>
          </w:tcPr>
          <w:p>
            <w:pPr>
              <w:ind w:left="400"/>
              <w:spacing w:after="0" w:line="201" w:lineRule="exact"/>
              <w:rPr>
                <w:sz w:val="20"/>
                <w:szCs w:val="20"/>
                <w:color w:val="auto"/>
              </w:rPr>
            </w:pPr>
            <w:r>
              <w:rPr>
                <w:rFonts w:ascii="Arial" w:cs="Arial" w:eastAsia="Arial" w:hAnsi="Arial"/>
                <w:sz w:val="18"/>
                <w:szCs w:val="18"/>
                <w:color w:val="auto"/>
              </w:rPr>
              <w:t>securities</w:t>
            </w:r>
          </w:p>
        </w:tc>
        <w:tc>
          <w:tcPr>
            <w:tcW w:w="1240" w:type="dxa"/>
            <w:vAlign w:val="bottom"/>
            <w:gridSpan w:val="2"/>
            <w:shd w:val="clear" w:color="auto" w:fill="CFF0FC"/>
          </w:tcPr>
          <w:p>
            <w:pPr>
              <w:jc w:val="center"/>
              <w:ind w:left="11"/>
              <w:spacing w:after="0" w:line="201"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64,923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line="201"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64,939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60" w:type="dxa"/>
            <w:vAlign w:val="bottom"/>
          </w:tcPr>
          <w:p>
            <w:pPr>
              <w:spacing w:after="0"/>
              <w:rPr>
                <w:sz w:val="20"/>
                <w:szCs w:val="20"/>
                <w:color w:val="auto"/>
              </w:rPr>
            </w:pPr>
            <w:r>
              <w:rPr>
                <w:rFonts w:ascii="Arial" w:cs="Arial" w:eastAsia="Arial" w:hAnsi="Arial"/>
                <w:sz w:val="18"/>
                <w:szCs w:val="18"/>
                <w:color w:val="auto"/>
              </w:rPr>
              <w:t>Total long-term investments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64,923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4"/>
              <w:spacing w:after="0" w:line="154"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60"/>
              <w:spacing w:after="0" w:line="154"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120" w:type="dxa"/>
            <w:vAlign w:val="bottom"/>
            <w:gridSpan w:val="3"/>
          </w:tcPr>
          <w:p>
            <w:pPr>
              <w:jc w:val="center"/>
              <w:ind w:right="360"/>
              <w:spacing w:after="0" w:line="154"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3"/>
                <w:szCs w:val="13"/>
                <w:color w:val="auto"/>
              </w:rPr>
            </w:pPr>
          </w:p>
        </w:tc>
        <w:tc>
          <w:tcPr>
            <w:tcW w:w="92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74"/>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7"/>
        </w:trPr>
        <w:tc>
          <w:tcPr>
            <w:tcW w:w="506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60" w:type="dxa"/>
            <w:vAlign w:val="bottom"/>
          </w:tcPr>
          <w:p>
            <w:pPr>
              <w:ind w:left="260"/>
              <w:spacing w:after="0"/>
              <w:rPr>
                <w:sz w:val="20"/>
                <w:szCs w:val="20"/>
                <w:color w:val="auto"/>
              </w:rPr>
            </w:pPr>
            <w:r>
              <w:rPr>
                <w:rFonts w:ascii="Arial" w:cs="Arial" w:eastAsia="Arial" w:hAnsi="Arial"/>
                <w:sz w:val="18"/>
                <w:szCs w:val="18"/>
                <w:color w:val="auto"/>
              </w:rPr>
              <w:t>Money market fund</w:t>
            </w:r>
          </w:p>
        </w:tc>
        <w:tc>
          <w:tcPr>
            <w:tcW w:w="124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240" w:type="dxa"/>
            <w:vAlign w:val="bottom"/>
            <w:gridSpan w:val="2"/>
            <w:shd w:val="clear" w:color="auto" w:fill="CFF0FC"/>
          </w:tcPr>
          <w:p>
            <w:pPr>
              <w:jc w:val="center"/>
              <w:ind w:left="11"/>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60"/>
              <w:spacing w:after="0"/>
              <w:rPr>
                <w:sz w:val="20"/>
                <w:szCs w:val="20"/>
                <w:color w:val="auto"/>
              </w:rPr>
            </w:pPr>
            <w:r>
              <w:rPr>
                <w:rFonts w:ascii="Arial" w:cs="Arial" w:eastAsia="Arial" w:hAnsi="Arial"/>
                <w:sz w:val="18"/>
                <w:szCs w:val="18"/>
                <w:color w:val="auto"/>
              </w:rPr>
              <w:t>U.S. government debt and agency</w:t>
            </w:r>
          </w:p>
        </w:tc>
        <w:tc>
          <w:tcPr>
            <w:tcW w:w="124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060" w:type="dxa"/>
            <w:vAlign w:val="bottom"/>
          </w:tcPr>
          <w:p>
            <w:pPr>
              <w:ind w:left="400"/>
              <w:spacing w:after="0" w:line="201" w:lineRule="exact"/>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4,999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4,999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1240" w:type="dxa"/>
            <w:vAlign w:val="bottom"/>
            <w:gridSpan w:val="2"/>
            <w:shd w:val="clear" w:color="auto" w:fill="CFF0FC"/>
          </w:tcPr>
          <w:p>
            <w:pPr>
              <w:jc w:val="center"/>
              <w:ind w:left="11"/>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6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53,772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53,770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060" w:type="dxa"/>
            <w:vAlign w:val="bottom"/>
            <w:tcBorders>
              <w:top w:val="single" w:sz="8" w:color="CFF0FC"/>
              <w:bottom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24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060" w:type="dxa"/>
            <w:vAlign w:val="bottom"/>
            <w:shd w:val="clear" w:color="auto" w:fill="CFF0FC"/>
          </w:tcPr>
          <w:p>
            <w:pPr>
              <w:ind w:left="400"/>
              <w:spacing w:after="0" w:line="201" w:lineRule="exact"/>
              <w:rPr>
                <w:sz w:val="20"/>
                <w:szCs w:val="20"/>
                <w:color w:val="auto"/>
              </w:rPr>
            </w:pPr>
            <w:r>
              <w:rPr>
                <w:rFonts w:ascii="Arial" w:cs="Arial" w:eastAsia="Arial" w:hAnsi="Arial"/>
                <w:sz w:val="18"/>
                <w:szCs w:val="18"/>
                <w:color w:val="auto"/>
              </w:rPr>
              <w:t>securities</w:t>
            </w:r>
          </w:p>
        </w:tc>
        <w:tc>
          <w:tcPr>
            <w:tcW w:w="1240" w:type="dxa"/>
            <w:vAlign w:val="bottom"/>
            <w:gridSpan w:val="2"/>
            <w:shd w:val="clear" w:color="auto" w:fill="CFF0FC"/>
          </w:tcPr>
          <w:p>
            <w:pPr>
              <w:jc w:val="center"/>
              <w:ind w:left="11"/>
              <w:spacing w:after="0" w:line="201"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31,835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31,842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6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124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240" w:type="dxa"/>
            <w:vAlign w:val="bottom"/>
            <w:gridSpan w:val="2"/>
            <w:shd w:val="clear" w:color="auto" w:fill="CFF0FC"/>
          </w:tcPr>
          <w:p>
            <w:pPr>
              <w:jc w:val="center"/>
              <w:ind w:left="11"/>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6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124,056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060" w:type="dxa"/>
            <w:vAlign w:val="bottom"/>
            <w:tcBorders>
              <w:top w:val="single" w:sz="8" w:color="CFF0FC"/>
              <w:bottom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rPr>
              <w:t>Long-term investments:</w:t>
            </w:r>
          </w:p>
        </w:tc>
        <w:tc>
          <w:tcPr>
            <w:tcW w:w="12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60" w:type="dxa"/>
            <w:vAlign w:val="bottom"/>
          </w:tcPr>
          <w:p>
            <w:pPr>
              <w:ind w:left="260"/>
              <w:spacing w:after="0"/>
              <w:rPr>
                <w:sz w:val="20"/>
                <w:szCs w:val="20"/>
                <w:color w:val="auto"/>
              </w:rPr>
            </w:pPr>
            <w:r>
              <w:rPr>
                <w:rFonts w:ascii="Arial" w:cs="Arial" w:eastAsia="Arial" w:hAnsi="Arial"/>
                <w:sz w:val="18"/>
                <w:szCs w:val="18"/>
                <w:color w:val="auto"/>
              </w:rPr>
              <w:t>U.S. government debt and agency</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60" w:type="dxa"/>
            <w:vAlign w:val="bottom"/>
          </w:tcPr>
          <w:p>
            <w:pPr>
              <w:ind w:left="400"/>
              <w:spacing w:after="0" w:line="201" w:lineRule="exact"/>
              <w:rPr>
                <w:sz w:val="20"/>
                <w:szCs w:val="20"/>
                <w:color w:val="auto"/>
              </w:rPr>
            </w:pPr>
            <w:r>
              <w:rPr>
                <w:rFonts w:ascii="Arial" w:cs="Arial" w:eastAsia="Arial" w:hAnsi="Arial"/>
                <w:sz w:val="18"/>
                <w:szCs w:val="18"/>
                <w:color w:val="auto"/>
              </w:rPr>
              <w:t>securities</w:t>
            </w:r>
          </w:p>
        </w:tc>
        <w:tc>
          <w:tcPr>
            <w:tcW w:w="1240" w:type="dxa"/>
            <w:vAlign w:val="bottom"/>
            <w:gridSpan w:val="2"/>
          </w:tcPr>
          <w:p>
            <w:pPr>
              <w:jc w:val="center"/>
              <w:ind w:left="11"/>
              <w:spacing w:after="0" w:line="201" w:lineRule="exact"/>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78,924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78,956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1240" w:type="dxa"/>
            <w:vAlign w:val="bottom"/>
            <w:gridSpan w:val="2"/>
            <w:shd w:val="clear" w:color="auto" w:fill="CFF0FC"/>
          </w:tcPr>
          <w:p>
            <w:pPr>
              <w:jc w:val="center"/>
              <w:ind w:left="11"/>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4,553</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60" w:type="dxa"/>
            <w:vAlign w:val="bottom"/>
          </w:tcPr>
          <w:p>
            <w:pPr>
              <w:spacing w:after="0"/>
              <w:rPr>
                <w:sz w:val="20"/>
                <w:szCs w:val="20"/>
                <w:color w:val="auto"/>
              </w:rPr>
            </w:pPr>
            <w:r>
              <w:rPr>
                <w:rFonts w:ascii="Arial" w:cs="Arial" w:eastAsia="Arial" w:hAnsi="Arial"/>
                <w:sz w:val="18"/>
                <w:szCs w:val="18"/>
                <w:color w:val="auto"/>
              </w:rPr>
              <w:t>Total long-term investments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83,475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All the commercial paper, U.S. government debt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spacing w:after="0" w:line="26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7"/>
          <w:szCs w:val="17"/>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as of June 30, 2021 and December 31, 2020 consisted of the following (in thousands):</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3920" w:type="dxa"/>
            <w:vAlign w:val="bottom"/>
            <w:tcBorders>
              <w:bottom w:val="single" w:sz="8" w:color="CFF0FC"/>
            </w:tcBorders>
          </w:tcPr>
          <w:p>
            <w:pPr>
              <w:spacing w:after="0"/>
              <w:rPr>
                <w:sz w:val="15"/>
                <w:szCs w:val="15"/>
                <w:color w:val="auto"/>
              </w:rPr>
            </w:pPr>
          </w:p>
        </w:tc>
        <w:tc>
          <w:tcPr>
            <w:tcW w:w="14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r>
      <w:tr>
        <w:trPr>
          <w:trHeight w:val="221"/>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r>
      <w:tr>
        <w:trPr>
          <w:trHeight w:val="213"/>
        </w:trPr>
        <w:tc>
          <w:tcPr>
            <w:tcW w:w="3920" w:type="dxa"/>
            <w:vAlign w:val="bottom"/>
          </w:tcPr>
          <w:p>
            <w:pPr>
              <w:spacing w:after="0"/>
              <w:rPr>
                <w:sz w:val="20"/>
                <w:szCs w:val="20"/>
                <w:color w:val="auto"/>
              </w:rPr>
            </w:pPr>
            <w:r>
              <w:rPr>
                <w:rFonts w:ascii="Arial" w:cs="Arial" w:eastAsia="Arial" w:hAnsi="Arial"/>
                <w:sz w:val="18"/>
                <w:szCs w:val="18"/>
                <w:color w:val="auto"/>
              </w:rPr>
              <w:t>Office furniture, fixtures, and</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3920" w:type="dxa"/>
            <w:vAlign w:val="bottom"/>
          </w:tcPr>
          <w:p>
            <w:pPr>
              <w:ind w:left="140"/>
              <w:spacing w:after="0" w:line="201" w:lineRule="exact"/>
              <w:rPr>
                <w:sz w:val="20"/>
                <w:szCs w:val="20"/>
                <w:color w:val="auto"/>
              </w:rPr>
            </w:pPr>
            <w:r>
              <w:rPr>
                <w:rFonts w:ascii="Arial" w:cs="Arial" w:eastAsia="Arial" w:hAnsi="Arial"/>
                <w:sz w:val="18"/>
                <w:szCs w:val="18"/>
                <w:color w:val="auto"/>
              </w:rPr>
              <w:t>computer equipment</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r>
      <w:tr>
        <w:trPr>
          <w:trHeight w:val="214"/>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w:t>
            </w: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4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80" w:type="dxa"/>
            <w:vAlign w:val="bottom"/>
            <w:tcBorders>
              <w:bottom w:val="single" w:sz="8" w:color="CFF0FC"/>
            </w:tcBorders>
          </w:tcPr>
          <w:p>
            <w:pPr>
              <w:spacing w:after="0"/>
              <w:rPr>
                <w:sz w:val="18"/>
                <w:szCs w:val="18"/>
                <w:color w:val="auto"/>
              </w:rPr>
            </w:pPr>
          </w:p>
        </w:tc>
      </w:tr>
      <w:tr>
        <w:trPr>
          <w:trHeight w:val="207"/>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at cost</w:t>
            </w: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w:t>
            </w:r>
          </w:p>
        </w:tc>
        <w:tc>
          <w:tcPr>
            <w:tcW w:w="80" w:type="dxa"/>
            <w:vAlign w:val="bottom"/>
            <w:shd w:val="clear" w:color="auto" w:fill="CFF0FC"/>
          </w:tcPr>
          <w:p>
            <w:pPr>
              <w:spacing w:after="0"/>
              <w:rPr>
                <w:sz w:val="18"/>
                <w:szCs w:val="18"/>
                <w:color w:val="auto"/>
              </w:rPr>
            </w:pPr>
          </w:p>
        </w:tc>
      </w:tr>
      <w:tr>
        <w:trPr>
          <w:trHeight w:val="214"/>
        </w:trPr>
        <w:tc>
          <w:tcPr>
            <w:tcW w:w="39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0"/>
        </w:trPr>
        <w:tc>
          <w:tcPr>
            <w:tcW w:w="39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7"/>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2,916</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80" w:type="dxa"/>
            <w:vAlign w:val="bottom"/>
            <w:shd w:val="clear" w:color="auto" w:fill="CFF0FC"/>
          </w:tcPr>
          <w:p>
            <w:pPr>
              <w:spacing w:after="0"/>
              <w:rPr>
                <w:sz w:val="18"/>
                <w:szCs w:val="18"/>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13" w:lineRule="exact"/>
        <w:rPr>
          <w:sz w:val="20"/>
          <w:szCs w:val="20"/>
          <w:color w:val="auto"/>
        </w:rPr>
      </w:pPr>
    </w:p>
    <w:p>
      <w:pPr>
        <w:jc w:val="both"/>
        <w:ind w:firstLine="566"/>
        <w:spacing w:after="0" w:line="239" w:lineRule="auto"/>
        <w:rPr>
          <w:sz w:val="20"/>
          <w:szCs w:val="20"/>
          <w:color w:val="auto"/>
        </w:rPr>
      </w:pPr>
      <w:r>
        <w:rPr>
          <w:rFonts w:ascii="Arial" w:cs="Arial" w:eastAsia="Arial" w:hAnsi="Arial"/>
          <w:sz w:val="18"/>
          <w:szCs w:val="18"/>
          <w:color w:val="auto"/>
        </w:rPr>
        <w:t>Depreciation expense was $118,000 and $230,000 for the three and six months ended June 30, 2021, respectively. The Company did not incur depreciation expense during the three and six months ended June 30, 2020.</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8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0"/>
        </w:trPr>
        <w:tc>
          <w:tcPr>
            <w:tcW w:w="53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1"/>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FF0FC"/>
          </w:tcPr>
          <w:p>
            <w:pPr>
              <w:spacing w:after="0"/>
              <w:rPr>
                <w:sz w:val="19"/>
                <w:szCs w:val="19"/>
                <w:color w:val="auto"/>
              </w:rPr>
            </w:pPr>
          </w:p>
        </w:tc>
      </w:tr>
      <w:tr>
        <w:trPr>
          <w:trHeight w:val="227"/>
        </w:trPr>
        <w:tc>
          <w:tcPr>
            <w:tcW w:w="53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1,169</w:t>
            </w:r>
          </w:p>
        </w:tc>
        <w:tc>
          <w:tcPr>
            <w:tcW w:w="80" w:type="dxa"/>
            <w:vAlign w:val="bottom"/>
          </w:tcPr>
          <w:p>
            <w:pPr>
              <w:spacing w:after="0"/>
              <w:rPr>
                <w:sz w:val="19"/>
                <w:szCs w:val="19"/>
                <w:color w:val="auto"/>
              </w:rPr>
            </w:pPr>
          </w:p>
        </w:tc>
      </w:tr>
      <w:tr>
        <w:trPr>
          <w:trHeight w:val="228"/>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FF0FC"/>
          </w:tcPr>
          <w:p>
            <w:pPr>
              <w:spacing w:after="0"/>
              <w:rPr>
                <w:sz w:val="19"/>
                <w:szCs w:val="19"/>
                <w:color w:val="auto"/>
              </w:rPr>
            </w:pPr>
          </w:p>
        </w:tc>
      </w:tr>
      <w:tr>
        <w:trPr>
          <w:trHeight w:val="220"/>
        </w:trPr>
        <w:tc>
          <w:tcPr>
            <w:tcW w:w="5360" w:type="dxa"/>
            <w:vAlign w:val="bottom"/>
          </w:tcPr>
          <w:p>
            <w:pPr>
              <w:ind w:left="240"/>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Income (Expense), Net</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consisted of the following (in thousands):</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22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20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Six Months Ended June 30,</w:t>
            </w:r>
          </w:p>
        </w:tc>
      </w:tr>
      <w:tr>
        <w:trPr>
          <w:trHeight w:val="167"/>
        </w:trPr>
        <w:tc>
          <w:tcPr>
            <w:tcW w:w="4600" w:type="dxa"/>
            <w:vAlign w:val="bottom"/>
            <w:tcBorders>
              <w:bottom w:val="single" w:sz="8" w:color="CFF0FC"/>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1"/>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14"/>
        </w:trPr>
        <w:tc>
          <w:tcPr>
            <w:tcW w:w="460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r>
      <w:tr>
        <w:trPr>
          <w:trHeight w:val="214"/>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6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r>
      <w:tr>
        <w:trPr>
          <w:trHeight w:val="214"/>
        </w:trPr>
        <w:tc>
          <w:tcPr>
            <w:tcW w:w="4600" w:type="dxa"/>
            <w:vAlign w:val="bottom"/>
          </w:tcPr>
          <w:p>
            <w:pPr>
              <w:spacing w:after="0"/>
              <w:rPr>
                <w:sz w:val="20"/>
                <w:szCs w:val="20"/>
                <w:color w:val="auto"/>
              </w:rPr>
            </w:pPr>
            <w:r>
              <w:rPr>
                <w:rFonts w:ascii="Arial" w:cs="Arial" w:eastAsia="Arial" w:hAnsi="Arial"/>
                <w:sz w:val="18"/>
                <w:szCs w:val="18"/>
                <w:color w:val="auto"/>
              </w:rPr>
              <w:t>Change in fair value of grant liability</w:t>
            </w:r>
          </w:p>
        </w:tc>
        <w:tc>
          <w:tcPr>
            <w:tcW w:w="6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4"/>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Gain on extinguishment of convertible notes</w:t>
            </w:r>
          </w:p>
        </w:tc>
        <w:tc>
          <w:tcPr>
            <w:tcW w:w="6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FF0FC"/>
          </w:tcPr>
          <w:p>
            <w:pPr>
              <w:spacing w:after="0"/>
              <w:rPr>
                <w:sz w:val="18"/>
                <w:szCs w:val="18"/>
                <w:color w:val="auto"/>
              </w:rPr>
            </w:pPr>
          </w:p>
        </w:tc>
      </w:tr>
      <w:tr>
        <w:trPr>
          <w:trHeight w:val="207"/>
        </w:trPr>
        <w:tc>
          <w:tcPr>
            <w:tcW w:w="4600" w:type="dxa"/>
            <w:vAlign w:val="bottom"/>
          </w:tcPr>
          <w:p>
            <w:pPr>
              <w:ind w:left="240"/>
              <w:spacing w:after="0"/>
              <w:rPr>
                <w:sz w:val="20"/>
                <w:szCs w:val="20"/>
                <w:color w:val="auto"/>
              </w:rPr>
            </w:pPr>
            <w:r>
              <w:rPr>
                <w:rFonts w:ascii="Arial" w:cs="Arial" w:eastAsia="Arial" w:hAnsi="Arial"/>
                <w:sz w:val="18"/>
                <w:szCs w:val="18"/>
                <w:color w:val="auto"/>
              </w:rPr>
              <w:t>Total other income (expense), net</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r>
        <w:trPr>
          <w:trHeight w:val="20"/>
        </w:trPr>
        <w:tc>
          <w:tcPr>
            <w:tcW w:w="4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Agreements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25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Washington State University (“WSU”) in 2015. Under this agreement, the Company has an exclusive license to make, use, sell, and offer for sale a chemical compound that forms the underlying technology of certain of the drug therapies being developed by the Company.</w:t>
      </w:r>
    </w:p>
    <w:p>
      <w:pPr>
        <w:spacing w:after="0" w:line="244"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June 30,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5" w:name="page16"/>
    <w:bookmarkEnd w:id="15"/>
    <w:p>
      <w:pPr>
        <w:ind w:firstLine="510"/>
        <w:spacing w:after="0" w:line="239" w:lineRule="auto"/>
        <w:rPr>
          <w:sz w:val="20"/>
          <w:szCs w:val="20"/>
          <w:color w:val="auto"/>
        </w:rPr>
      </w:pPr>
      <w:r>
        <w:rPr>
          <w:rFonts w:ascii="Arial" w:cs="Arial" w:eastAsia="Arial" w:hAnsi="Arial"/>
          <w:sz w:val="18"/>
          <w:szCs w:val="18"/>
          <w:color w:val="auto"/>
        </w:rPr>
        <w:t>During the year ended December 31, 2020, the Phase 2 clinical trial milestone had been reached and a payment of $50,000 to WSU was recorded.</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1" w:lineRule="exact"/>
        <w:rPr>
          <w:sz w:val="20"/>
          <w:szCs w:val="20"/>
          <w:color w:val="auto"/>
        </w:rPr>
      </w:pPr>
    </w:p>
    <w:p>
      <w:pPr>
        <w:ind w:left="1020" w:hanging="505"/>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61"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June 30, 2021, the Company had not incurred a royalty obligation under this agreement.</w:t>
      </w:r>
    </w:p>
    <w:p>
      <w:pPr>
        <w:spacing w:after="0" w:line="24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mid-teens of any non-sales based payments received, and low twenties of net sales based sublicense royalties. As of June 30, 2021, the Company has not entered into or incurred any liability from a sublicense agreement.</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Liability</w:t>
      </w:r>
    </w:p>
    <w:p>
      <w:pPr>
        <w:spacing w:after="0" w:line="270"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2014 and 2015, the Company received $250,000 and $500,000, respectively, from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96" w:lineRule="exact"/>
        <w:rPr>
          <w:sz w:val="20"/>
          <w:szCs w:val="20"/>
          <w:color w:val="auto"/>
        </w:rPr>
      </w:pPr>
    </w:p>
    <w:p>
      <w:pPr>
        <w:ind w:left="1020" w:hanging="50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transfers the underlying IP without receiving consideration;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relocation of the Company from Washington state;</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an initial public offering;</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third-party acquisition of a controlling interest in the Company,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termination of the agreements.</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 xml:space="preserve">To appropriately capture the economics of this arrangement, the grant liability was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Overall</w:t>
      </w:r>
      <w:r>
        <w:rPr>
          <w:rFonts w:ascii="Arial" w:cs="Arial" w:eastAsia="Arial" w:hAnsi="Arial"/>
          <w:sz w:val="18"/>
          <w:szCs w:val="18"/>
          <w:color w:val="auto"/>
        </w:rPr>
        <w:t>. The estimated fair value of the grant liability was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were subject to significant judgment, and payment may have been in an amount different from the liability that the Company estimated. However, total payments under the agreements would not exceed $1.5 million.</w:t>
      </w:r>
    </w:p>
    <w:p>
      <w:pPr>
        <w:spacing w:after="0" w:line="232"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consummation of the Company’s IPO in September 2020 was a triggering event under the terms of the grant and the liability was remeasured to the pay-off amount of $1.5 million prior to settlement. The change in the fair value of the liability resulted in expense of approximately $464,000 for the year ended December 31, 2020, which was included in other income (expense), net in the accompanying consolidated statements of operations and comprehensive loss.</w:t>
      </w:r>
    </w:p>
    <w:p>
      <w:pPr>
        <w:spacing w:after="0" w:line="220" w:lineRule="exact"/>
        <w:rPr>
          <w:sz w:val="20"/>
          <w:szCs w:val="20"/>
          <w:color w:val="auto"/>
        </w:rPr>
      </w:pPr>
    </w:p>
    <w:p>
      <w:pPr>
        <w:ind w:left="200" w:hanging="193"/>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Convertible Notes</w:t>
      </w:r>
    </w:p>
    <w:p>
      <w:pPr>
        <w:spacing w:after="0" w:line="270" w:lineRule="exact"/>
        <w:rPr>
          <w:sz w:val="20"/>
          <w:szCs w:val="20"/>
          <w:color w:val="auto"/>
        </w:rPr>
      </w:pPr>
    </w:p>
    <w:p>
      <w:pPr>
        <w:jc w:val="both"/>
        <w:ind w:firstLine="510"/>
        <w:spacing w:after="0" w:line="250" w:lineRule="auto"/>
        <w:rPr>
          <w:sz w:val="20"/>
          <w:szCs w:val="20"/>
          <w:color w:val="auto"/>
        </w:rPr>
      </w:pPr>
      <w:r>
        <w:rPr>
          <w:rFonts w:ascii="Arial" w:cs="Arial" w:eastAsia="Arial" w:hAnsi="Arial"/>
          <w:sz w:val="17"/>
          <w:szCs w:val="17"/>
          <w:color w:val="auto"/>
        </w:rPr>
        <w:t>The Company issued unsecured convertible notes with an aggregate principal amount of $1.7 million in 2020. Previously, the Company issued unsecured convertible notes with aggregate principal amounts of $0.9 million and $1.3 million and in 2019 and 2018, respectively. The notes accrued interest at a rate of 5% per year and mature in December 2021, unless earlier converted. No principal or interest was payable prior to maturity as the convertible notes and any accrued interest would automatically convert upon a qualified financing event at a conversion price equal to 85% of the price per share of the qualified financing. Holders may have also elected to convert their notes to shares of common stock upon the maturity of the notes at the then fair value of common stock. If the Company experienced a change in control,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 w:name="page17"/>
    <w:bookmarkEnd w:id="16"/>
    <w:p>
      <w:pPr>
        <w:jc w:val="both"/>
        <w:spacing w:after="0" w:line="237" w:lineRule="auto"/>
        <w:rPr>
          <w:sz w:val="20"/>
          <w:szCs w:val="20"/>
          <w:color w:val="auto"/>
        </w:rPr>
      </w:pPr>
      <w:r>
        <w:rPr>
          <w:rFonts w:ascii="Arial" w:cs="Arial" w:eastAsia="Arial" w:hAnsi="Arial"/>
          <w:sz w:val="18"/>
          <w:szCs w:val="18"/>
          <w:color w:val="auto"/>
        </w:rPr>
        <w:t>holders may have either converted the outstanding principal amount plus any accrued interest into shares of common stock at the then fair value of common stock or may have required the Company to repurchase the notes in cash at a price equal to 200% of the outstanding principal amount plus any accrued interest.</w:t>
      </w:r>
    </w:p>
    <w:p>
      <w:pPr>
        <w:spacing w:after="0" w:line="229"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242"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In May 2020, the outstanding principal balance of the convertible notes of $3.8 million and accrued interest of $160,000 converted into 512,858 shares of Series B-1 convertible preferred stock.</w:t>
      </w:r>
    </w:p>
    <w:p>
      <w:pPr>
        <w:spacing w:after="0" w:line="243"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The excess of the carrying value of the convertible notes and the derivative liability over the fair value of the Series B-1 convertible preferred stock at conversion resulted in a gain upon extinguishment of $199,000.</w:t>
      </w:r>
    </w:p>
    <w:p>
      <w:pPr>
        <w:spacing w:after="0" w:line="315" w:lineRule="exact"/>
        <w:rPr>
          <w:sz w:val="20"/>
          <w:szCs w:val="20"/>
          <w:color w:val="auto"/>
        </w:rPr>
      </w:pPr>
    </w:p>
    <w:p>
      <w:pPr>
        <w:ind w:left="520" w:right="8200" w:hanging="513"/>
        <w:spacing w:after="0" w:line="571" w:lineRule="auto"/>
        <w:tabs>
          <w:tab w:leader="none" w:pos="208"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Legal Proceedings</w:t>
      </w:r>
    </w:p>
    <w:p>
      <w:pPr>
        <w:spacing w:after="0" w:line="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From time to time, we are subject to various legal proceedings or claims that arise in the ordinary course of business. We accrue a liability when management believes that it is both probable that a liability has been incurred and the amount of loss can be reasonably estimated, and as of June 30, 2021, we have not recorded any such liabilities. The following is a brief description of the more significant legal proceedings.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Securities Class Actions</w:t>
      </w:r>
    </w:p>
    <w:p>
      <w:pPr>
        <w:spacing w:after="0" w:line="27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the Company and the Company’s Chief Executive Officer Dr. Leen Kawas, captioned </w:t>
      </w:r>
      <w:r>
        <w:rPr>
          <w:rFonts w:ascii="Arial" w:cs="Arial" w:eastAsia="Arial" w:hAnsi="Arial"/>
          <w:sz w:val="18"/>
          <w:szCs w:val="18"/>
          <w:i w:val="1"/>
          <w:iCs w:val="1"/>
          <w:color w:val="auto"/>
        </w:rPr>
        <w:t>Wang v. Athira</w:t>
      </w:r>
      <w:r>
        <w:rPr>
          <w:rFonts w:ascii="Arial" w:cs="Arial" w:eastAsia="Arial" w:hAnsi="Arial"/>
          <w:sz w:val="18"/>
          <w:szCs w:val="18"/>
          <w:color w:val="auto"/>
        </w:rPr>
        <w:t xml:space="preserve"> </w:t>
      </w:r>
      <w:r>
        <w:rPr>
          <w:rFonts w:ascii="Arial" w:cs="Arial" w:eastAsia="Arial" w:hAnsi="Arial"/>
          <w:sz w:val="18"/>
          <w:szCs w:val="18"/>
          <w:i w:val="1"/>
          <w:iCs w:val="1"/>
          <w:color w:val="auto"/>
        </w:rPr>
        <w:t>Pharma, Inc., et al.</w:t>
      </w:r>
      <w:r>
        <w:rPr>
          <w:rFonts w:ascii="Arial" w:cs="Arial" w:eastAsia="Arial" w:hAnsi="Arial"/>
          <w:sz w:val="18"/>
          <w:szCs w:val="18"/>
          <w:color w:val="auto"/>
        </w:rPr>
        <w:t>, No. 2:21-cv-00861. Plaintiffs Wang and Gao assert claims under Sections 10(b) and 20(a) of the Securities 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1934 and SEC Rule 10b-5, alleging that the defendants made materially false and misleading statements and omitted material adverse facts regarding the Company’s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the Company failed to disclose to investors that certain research conducted by Dr. Kawas was allegedly tainted by scientific misconduct during her doctoral work at Washington State University, including the manipulation of data, and that as a result, the defendants’ positive statements about the Company’s business, operations, and prospects were materially misleading.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seek unspecified compensatory and punitive damages, and reasonable costs and expenses, including attorneys’ fees.</w:t>
      </w:r>
    </w:p>
    <w:p>
      <w:pPr>
        <w:spacing w:after="0" w:line="27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the Company, Dr. Kawas, the Company’s Chief Financial Officer, certain members of the Company’s board of directors at the time of the Company’s IPO, as well as the IPO underwriters, captioned </w:t>
      </w:r>
      <w:r>
        <w:rPr>
          <w:rFonts w:ascii="Arial" w:cs="Arial" w:eastAsia="Arial" w:hAnsi="Arial"/>
          <w:sz w:val="18"/>
          <w:szCs w:val="18"/>
          <w:i w:val="1"/>
          <w:iCs w:val="1"/>
          <w:color w:val="auto"/>
        </w:rPr>
        <w:t>Jawandha v. Athira Pharma, Inc.,</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No. 2:21-cv-00862. The</w:t>
      </w:r>
      <w:r>
        <w:rPr>
          <w:rFonts w:ascii="Arial" w:cs="Arial" w:eastAsia="Arial" w:hAnsi="Arial"/>
          <w:sz w:val="18"/>
          <w:szCs w:val="18"/>
          <w:i w:val="1"/>
          <w:iCs w:val="1"/>
          <w:color w:val="auto"/>
        </w:rPr>
        <w:t xml:space="preserve"> Jawandha </w:t>
      </w:r>
      <w:r>
        <w:rPr>
          <w:rFonts w:ascii="Arial" w:cs="Arial" w:eastAsia="Arial" w:hAnsi="Arial"/>
          <w:sz w:val="18"/>
          <w:szCs w:val="18"/>
          <w:color w:val="auto"/>
        </w:rPr>
        <w:t>complaint asserts violations of Sections 11 and 15 of the Securities Act of 1933, alleging that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IPO registration statement was materially false and misleading because it omitted to state that certain of Dr. Kawas’s published doctoral research papers at Washington State University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plaintiff seeks unspecified compensatory damages, and reasonable costs and expenses, including attorneys’ fees.</w:t>
      </w:r>
    </w:p>
    <w:p>
      <w:pPr>
        <w:spacing w:after="0" w:line="31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the Company, Dr. Kawas, the Company’s Chief Financial Officer, and the same members of the Company’s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of 1933, alleging that purported issues with Dr. Kawas’s doctoral research at Washington State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 w:name="page18"/>
    <w:bookmarkEnd w:id="17"/>
    <w:p>
      <w:pPr>
        <w:jc w:val="both"/>
        <w:spacing w:after="0" w:line="260" w:lineRule="auto"/>
        <w:rPr>
          <w:sz w:val="20"/>
          <w:szCs w:val="20"/>
          <w:color w:val="auto"/>
        </w:rPr>
      </w:pPr>
      <w:r>
        <w:rPr>
          <w:rFonts w:ascii="Arial" w:cs="Arial" w:eastAsia="Arial" w:hAnsi="Arial"/>
          <w:sz w:val="18"/>
          <w:szCs w:val="18"/>
          <w:color w:val="auto"/>
        </w:rPr>
        <w:t xml:space="preserve">University should have been disclosed in the Company’s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20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 xml:space="preserve">On August 9, 2021, the Honorable Judge Thomas S. Zilly, the district judge presiding over </w:t>
      </w:r>
      <w:r>
        <w:rPr>
          <w:rFonts w:ascii="Arial" w:cs="Arial" w:eastAsia="Arial" w:hAnsi="Arial"/>
          <w:sz w:val="18"/>
          <w:szCs w:val="18"/>
          <w:i w:val="1"/>
          <w:iCs w:val="1"/>
          <w:color w:val="auto"/>
        </w:rPr>
        <w:t>Wang v. Athira Pharma, Inc., et al.</w:t>
      </w:r>
      <w:r>
        <w:rPr>
          <w:rFonts w:ascii="Arial" w:cs="Arial" w:eastAsia="Arial" w:hAnsi="Arial"/>
          <w:sz w:val="18"/>
          <w:szCs w:val="18"/>
          <w:color w:val="auto"/>
        </w:rPr>
        <w:t>, No. 2:21-cv-00861, issued an order consolidating the three cases under that case number and postponing a response from defendants until after the appointment of a lead plaintiff and the submission or designation of a consolidated complaint.</w:t>
      </w:r>
    </w:p>
    <w:p>
      <w:pPr>
        <w:spacing w:after="0" w:line="23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Company cannot predict the outcome of these suits, and failure by the Company to obtain a favorable resolution of these suits could have a material adverse effect on its business, results of operations and financial condition. The Company’s chances of success on the merits are still uncertain and any possible loss or range of loss cannot be reasonably estimated and as such the Company has not recorded a liability as of June 30, 2021.</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Independent Special Committee Investigation</w:t>
      </w:r>
    </w:p>
    <w:p>
      <w:pPr>
        <w:spacing w:after="0" w:line="270"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An independent special committee of the Company’s board of directors is conducting a review of papers co-authored by Dr. Kawas in connection with her doctoral research at Washington State University, among other things. The independent special committee has retained external counsel to assist the committee in its investigation.</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7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Company has operating leases for laboratory and office facilities in Bothell, Washington that expire in August 2027. The initial terms of the leases range from 6.3 to 7 years and the Company has options to extend the leases for an additional five years that it is not reasonably certain to exercise. Additionally, the Company has a lease agreement for laboratory and office facilities at the University of Washington in Seattle, Washington with an initial term of 12 months for which the Company recognizes expense on a straight-line basis within operating expenses. As of June 30, 2021, the Company was not party to any finance leases.</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r>
      <w:tr>
        <w:trPr>
          <w:trHeight w:val="174"/>
        </w:trPr>
        <w:tc>
          <w:tcPr>
            <w:tcW w:w="73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r>
      <w:tr>
        <w:trPr>
          <w:trHeight w:val="221"/>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Remaining 2021</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FF0FC"/>
          </w:tcPr>
          <w:p>
            <w:pPr>
              <w:spacing w:after="0"/>
              <w:rPr>
                <w:sz w:val="19"/>
                <w:szCs w:val="19"/>
                <w:color w:val="auto"/>
              </w:rPr>
            </w:pPr>
          </w:p>
        </w:tc>
      </w:tr>
      <w:tr>
        <w:trPr>
          <w:trHeight w:val="214"/>
        </w:trPr>
        <w:tc>
          <w:tcPr>
            <w:tcW w:w="736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8"/>
                <w:szCs w:val="18"/>
                <w:color w:val="auto"/>
              </w:rPr>
            </w:pPr>
          </w:p>
        </w:tc>
      </w:tr>
      <w:tr>
        <w:trPr>
          <w:trHeight w:val="214"/>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FF0FC"/>
          </w:tcPr>
          <w:p>
            <w:pPr>
              <w:spacing w:after="0"/>
              <w:rPr>
                <w:sz w:val="18"/>
                <w:szCs w:val="18"/>
                <w:color w:val="auto"/>
              </w:rPr>
            </w:pPr>
          </w:p>
        </w:tc>
      </w:tr>
      <w:tr>
        <w:trPr>
          <w:trHeight w:val="214"/>
        </w:trPr>
        <w:tc>
          <w:tcPr>
            <w:tcW w:w="736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r>
      <w:tr>
        <w:trPr>
          <w:trHeight w:val="214"/>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FF0FC"/>
          </w:tcPr>
          <w:p>
            <w:pPr>
              <w:spacing w:after="0"/>
              <w:rPr>
                <w:sz w:val="18"/>
                <w:szCs w:val="18"/>
                <w:color w:val="auto"/>
              </w:rPr>
            </w:pPr>
          </w:p>
        </w:tc>
      </w:tr>
      <w:tr>
        <w:trPr>
          <w:trHeight w:val="214"/>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80" w:type="dxa"/>
            <w:vAlign w:val="bottom"/>
            <w:tcBorders>
              <w:bottom w:val="single" w:sz="8" w:color="CFF0FC"/>
            </w:tcBorders>
          </w:tcPr>
          <w:p>
            <w:pPr>
              <w:spacing w:after="0"/>
              <w:rPr>
                <w:sz w:val="18"/>
                <w:szCs w:val="18"/>
                <w:color w:val="auto"/>
              </w:rPr>
            </w:pPr>
          </w:p>
        </w:tc>
      </w:tr>
      <w:tr>
        <w:trPr>
          <w:trHeight w:val="207"/>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80" w:type="dxa"/>
            <w:vAlign w:val="bottom"/>
            <w:shd w:val="clear" w:color="auto" w:fill="CFF0FC"/>
          </w:tcPr>
          <w:p>
            <w:pPr>
              <w:spacing w:after="0"/>
              <w:rPr>
                <w:sz w:val="18"/>
                <w:szCs w:val="18"/>
                <w:color w:val="auto"/>
              </w:rPr>
            </w:pPr>
          </w:p>
        </w:tc>
      </w:tr>
      <w:tr>
        <w:trPr>
          <w:trHeight w:val="214"/>
        </w:trPr>
        <w:tc>
          <w:tcPr>
            <w:tcW w:w="7360" w:type="dxa"/>
            <w:vAlign w:val="bottom"/>
          </w:tcPr>
          <w:p>
            <w:pPr>
              <w:spacing w:after="0"/>
              <w:rPr>
                <w:sz w:val="20"/>
                <w:szCs w:val="20"/>
                <w:color w:val="auto"/>
              </w:rPr>
            </w:pPr>
            <w:r>
              <w:rPr>
                <w:rFonts w:ascii="Arial" w:cs="Arial" w:eastAsia="Arial" w:hAnsi="Arial"/>
                <w:sz w:val="18"/>
                <w:szCs w:val="18"/>
                <w:color w:val="auto"/>
              </w:rPr>
              <w:t>Present value adjustment for minimum lease commitments</w:t>
            </w: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(638)</w:t>
            </w:r>
          </w:p>
        </w:tc>
      </w:tr>
      <w:tr>
        <w:trPr>
          <w:trHeight w:val="214"/>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 allowance receivable</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r>
      <w:tr>
        <w:trPr>
          <w:trHeight w:val="207"/>
        </w:trPr>
        <w:tc>
          <w:tcPr>
            <w:tcW w:w="7360" w:type="dxa"/>
            <w:vAlign w:val="bottom"/>
          </w:tcPr>
          <w:p>
            <w:pPr>
              <w:ind w:left="240"/>
              <w:spacing w:after="0"/>
              <w:rPr>
                <w:sz w:val="20"/>
                <w:szCs w:val="20"/>
                <w:color w:val="auto"/>
              </w:rPr>
            </w:pPr>
            <w:r>
              <w:rPr>
                <w:rFonts w:ascii="Arial" w:cs="Arial" w:eastAsia="Arial" w:hAnsi="Arial"/>
                <w:sz w:val="18"/>
                <w:szCs w:val="18"/>
                <w:color w:val="auto"/>
              </w:rPr>
              <w:t>Net lease liability</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right="20" w:firstLine="510"/>
        <w:spacing w:after="0" w:line="239" w:lineRule="auto"/>
        <w:rPr>
          <w:sz w:val="20"/>
          <w:szCs w:val="20"/>
          <w:color w:val="auto"/>
        </w:rPr>
      </w:pPr>
      <w:r>
        <w:rPr>
          <w:rFonts w:ascii="Arial" w:cs="Arial" w:eastAsia="Arial" w:hAnsi="Arial"/>
          <w:sz w:val="18"/>
          <w:szCs w:val="18"/>
          <w:color w:val="auto"/>
        </w:rPr>
        <w:t>The weighted average remaining lease term and the weighted average discount rate used to determine the operating lease liability were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w:t>
            </w:r>
          </w:p>
        </w:tc>
      </w:tr>
      <w:tr>
        <w:trPr>
          <w:trHeight w:val="174"/>
        </w:trPr>
        <w:tc>
          <w:tcPr>
            <w:tcW w:w="7300" w:type="dxa"/>
            <w:vAlign w:val="bottom"/>
            <w:tcBorders>
              <w:bottom w:val="single" w:sz="8" w:color="CFF0FC"/>
            </w:tcBorders>
          </w:tcPr>
          <w:p>
            <w:pPr>
              <w:spacing w:after="0"/>
              <w:rPr>
                <w:sz w:val="15"/>
                <w:szCs w:val="15"/>
                <w:color w:val="auto"/>
              </w:rPr>
            </w:pPr>
          </w:p>
        </w:tc>
        <w:tc>
          <w:tcPr>
            <w:tcW w:w="15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r>
      <w:tr>
        <w:trPr>
          <w:trHeight w:val="207"/>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150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5"/>
              </w:rPr>
              <w:t>6.2</w:t>
            </w:r>
          </w:p>
        </w:tc>
        <w:tc>
          <w:tcPr>
            <w:tcW w:w="180" w:type="dxa"/>
            <w:vAlign w:val="bottom"/>
            <w:shd w:val="clear" w:color="auto" w:fill="CFF0FC"/>
          </w:tcPr>
          <w:p>
            <w:pPr>
              <w:spacing w:after="0"/>
              <w:rPr>
                <w:sz w:val="18"/>
                <w:szCs w:val="18"/>
                <w:color w:val="auto"/>
              </w:rPr>
            </w:pPr>
          </w:p>
        </w:tc>
      </w:tr>
      <w:tr>
        <w:trPr>
          <w:trHeight w:val="226"/>
        </w:trPr>
        <w:tc>
          <w:tcPr>
            <w:tcW w:w="73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8.1%</w:t>
            </w:r>
          </w:p>
        </w:tc>
      </w:tr>
    </w:tbl>
    <w:p>
      <w:pPr>
        <w:spacing w:after="0" w:line="281"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Operating lease expense was $ 85,000 and $146,000 for the three and six months ended June 30, 2021, respectively. Variable lease expense was $20,000 and $40,000 for operating leases during the three and six months ended June 30, 2021, respectively. The Company did not recognize short term lease expense for the three months ended June 30, 2021. Rent expense recognized for short term leases was $12,000 for the three months ended June 30, 2020. Rent expense recognized for short term leases was $13,000 and $39,000 for the six months ended June 30, 2021 and 2020, respectively.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Convertible Preferred Stock</w:t>
      </w:r>
    </w:p>
    <w:p>
      <w:pPr>
        <w:spacing w:after="0" w:line="31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212121"/>
        </w:rPr>
        <w:t>In May and June 2020, the Company issued an aggregate of 9,372,765 shares of its Series B convertible preferred stock at a purchase price of $ 9.12 per share for aggregate proceeds of $81.6 million, net of offering costs. The Company issued warrants to purchase 2,343,168 shares of its common stock, of which 688,067 were exercised concurrently with the shares of Series B convertible preferred stock issuance, for net proceeds of $ 55,000. In addition, the Company issued warrants to purchase 127,481 shares of its Series B convertible preferred stock at a purchase price of $9.12 per share. The Series B convertible preferred stock financing triggered the automatic conversion of the Company’s outstanding convertible promissory notes into 512,858 shares of Series B-1 convertible preferred stock based on a price of $7.752 per share (85% of the $9.12 original issuance price of the Series B convertible preferred stock).</w:t>
      </w:r>
    </w:p>
    <w:p>
      <w:pPr>
        <w:spacing w:after="0" w:line="259" w:lineRule="exact"/>
        <w:rPr>
          <w:sz w:val="20"/>
          <w:szCs w:val="20"/>
          <w:color w:val="auto"/>
        </w:rPr>
      </w:pPr>
    </w:p>
    <w:p>
      <w:pPr>
        <w:jc w:val="both"/>
        <w:ind w:right="20" w:firstLine="510"/>
        <w:spacing w:after="0" w:line="239" w:lineRule="auto"/>
        <w:rPr>
          <w:sz w:val="20"/>
          <w:szCs w:val="20"/>
          <w:color w:val="auto"/>
        </w:rPr>
      </w:pPr>
      <w:r>
        <w:rPr>
          <w:rFonts w:ascii="Arial" w:cs="Arial" w:eastAsia="Arial" w:hAnsi="Arial"/>
          <w:sz w:val="18"/>
          <w:szCs w:val="18"/>
          <w:color w:val="212121"/>
        </w:rPr>
        <w:t>In September 2020, upon the consummation of the Company’s IPO, all outstanding shares of convertible preferred stock converted into 12,503,009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5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54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r>
      <w:tr>
        <w:trPr>
          <w:trHeight w:val="20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issuable upon the exercise of outstanding</w:t>
            </w: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5420" w:type="dxa"/>
            <w:vAlign w:val="bottom"/>
            <w:shd w:val="clear" w:color="auto" w:fill="CFF0FC"/>
          </w:tcPr>
          <w:p>
            <w:pPr>
              <w:ind w:left="140"/>
              <w:spacing w:after="0" w:line="201" w:lineRule="exact"/>
              <w:rPr>
                <w:sz w:val="20"/>
                <w:szCs w:val="20"/>
                <w:color w:val="auto"/>
              </w:rPr>
            </w:pPr>
            <w:r>
              <w:rPr>
                <w:rFonts w:ascii="Arial" w:cs="Arial" w:eastAsia="Arial" w:hAnsi="Arial"/>
                <w:sz w:val="18"/>
                <w:szCs w:val="18"/>
                <w:color w:val="auto"/>
              </w:rPr>
              <w:t>common stock options and the vesting of outstanding</w:t>
            </w: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5420" w:type="dxa"/>
            <w:vAlign w:val="bottom"/>
            <w:shd w:val="clear" w:color="auto" w:fill="CFF0FC"/>
          </w:tcPr>
          <w:p>
            <w:pPr>
              <w:ind w:left="140"/>
              <w:spacing w:after="0" w:line="201" w:lineRule="exact"/>
              <w:rPr>
                <w:sz w:val="20"/>
                <w:szCs w:val="20"/>
                <w:color w:val="auto"/>
              </w:rPr>
            </w:pPr>
            <w:r>
              <w:rPr>
                <w:rFonts w:ascii="Arial" w:cs="Arial" w:eastAsia="Arial" w:hAnsi="Arial"/>
                <w:sz w:val="18"/>
                <w:szCs w:val="18"/>
                <w:color w:val="auto"/>
              </w:rPr>
              <w:t>common restricted stock units granted</w:t>
            </w:r>
          </w:p>
        </w:tc>
        <w:tc>
          <w:tcPr>
            <w:tcW w:w="10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2,484,278</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1,974,870</w:t>
            </w:r>
          </w:p>
        </w:tc>
        <w:tc>
          <w:tcPr>
            <w:tcW w:w="80" w:type="dxa"/>
            <w:vAlign w:val="bottom"/>
            <w:shd w:val="clear" w:color="auto" w:fill="CFF0FC"/>
          </w:tcPr>
          <w:p>
            <w:pPr>
              <w:spacing w:after="0"/>
              <w:rPr>
                <w:sz w:val="17"/>
                <w:szCs w:val="17"/>
                <w:color w:val="auto"/>
              </w:rPr>
            </w:pPr>
          </w:p>
        </w:tc>
      </w:tr>
      <w:tr>
        <w:trPr>
          <w:trHeight w:val="213"/>
        </w:trPr>
        <w:tc>
          <w:tcPr>
            <w:tcW w:w="5420" w:type="dxa"/>
            <w:vAlign w:val="bottom"/>
          </w:tcPr>
          <w:p>
            <w:pPr>
              <w:spacing w:after="0"/>
              <w:rPr>
                <w:sz w:val="20"/>
                <w:szCs w:val="20"/>
                <w:color w:val="auto"/>
              </w:rPr>
            </w:pPr>
            <w:r>
              <w:rPr>
                <w:rFonts w:ascii="Arial" w:cs="Arial" w:eastAsia="Arial" w:hAnsi="Arial"/>
                <w:sz w:val="18"/>
                <w:szCs w:val="18"/>
                <w:color w:val="auto"/>
              </w:rPr>
              <w:t>Shares available for future grant under the 2020 Equity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5420" w:type="dxa"/>
            <w:vAlign w:val="bottom"/>
          </w:tcPr>
          <w:p>
            <w:pPr>
              <w:ind w:left="140"/>
              <w:spacing w:after="0" w:line="201" w:lineRule="exact"/>
              <w:rPr>
                <w:sz w:val="20"/>
                <w:szCs w:val="20"/>
                <w:color w:val="auto"/>
              </w:rPr>
            </w:pPr>
            <w:r>
              <w:rPr>
                <w:rFonts w:ascii="Arial" w:cs="Arial" w:eastAsia="Arial" w:hAnsi="Arial"/>
                <w:sz w:val="18"/>
                <w:szCs w:val="18"/>
                <w:color w:val="auto"/>
              </w:rPr>
              <w:t>Incentive Plan</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4,706,966</w:t>
            </w:r>
          </w:p>
        </w:tc>
        <w:tc>
          <w:tcPr>
            <w:tcW w:w="20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3,742,235</w:t>
            </w:r>
          </w:p>
        </w:tc>
        <w:tc>
          <w:tcPr>
            <w:tcW w:w="80" w:type="dxa"/>
            <w:vAlign w:val="bottom"/>
          </w:tcPr>
          <w:p>
            <w:pPr>
              <w:spacing w:after="0"/>
              <w:rPr>
                <w:sz w:val="17"/>
                <w:szCs w:val="17"/>
                <w:color w:val="auto"/>
              </w:rPr>
            </w:pPr>
          </w:p>
        </w:tc>
      </w:tr>
      <w:tr>
        <w:trPr>
          <w:trHeight w:val="21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 under the Employee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1"/>
        </w:trPr>
        <w:tc>
          <w:tcPr>
            <w:tcW w:w="5420" w:type="dxa"/>
            <w:vAlign w:val="bottom"/>
            <w:shd w:val="clear" w:color="auto" w:fill="CFF0FC"/>
          </w:tcPr>
          <w:p>
            <w:pPr>
              <w:ind w:left="140"/>
              <w:spacing w:after="0" w:line="201" w:lineRule="exact"/>
              <w:rPr>
                <w:sz w:val="20"/>
                <w:szCs w:val="20"/>
                <w:color w:val="auto"/>
              </w:rPr>
            </w:pPr>
            <w:r>
              <w:rPr>
                <w:rFonts w:ascii="Arial" w:cs="Arial" w:eastAsia="Arial" w:hAnsi="Arial"/>
                <w:sz w:val="18"/>
                <w:szCs w:val="18"/>
                <w:color w:val="auto"/>
              </w:rPr>
              <w:t>Stock Purchase Plan</w:t>
            </w:r>
          </w:p>
        </w:tc>
        <w:tc>
          <w:tcPr>
            <w:tcW w:w="108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631,984</w:t>
            </w:r>
          </w:p>
        </w:tc>
        <w:tc>
          <w:tcPr>
            <w:tcW w:w="200" w:type="dxa"/>
            <w:vAlign w:val="bottom"/>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323,000</w:t>
            </w:r>
          </w:p>
        </w:tc>
        <w:tc>
          <w:tcPr>
            <w:tcW w:w="80" w:type="dxa"/>
            <w:vAlign w:val="bottom"/>
            <w:shd w:val="clear" w:color="auto" w:fill="CFF0FC"/>
          </w:tcPr>
          <w:p>
            <w:pPr>
              <w:spacing w:after="0"/>
              <w:rPr>
                <w:sz w:val="17"/>
                <w:szCs w:val="17"/>
                <w:color w:val="auto"/>
              </w:rPr>
            </w:pPr>
          </w:p>
        </w:tc>
      </w:tr>
      <w:tr>
        <w:trPr>
          <w:trHeight w:val="207"/>
        </w:trPr>
        <w:tc>
          <w:tcPr>
            <w:tcW w:w="542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7,823,228</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6,040,105</w:t>
            </w:r>
          </w:p>
        </w:tc>
        <w:tc>
          <w:tcPr>
            <w:tcW w:w="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Company’s 2020 Equity Incentive Plan (“2020 Plan”) provides for annual increases in the number of shares that may be issued under the 2020 Plan on January 1, 2021 and each subsequent January 1, thereafter, by a number of shares equal to the least of (a) 3,230,000 shares, (b) 5% of the number of shares of common stock issued and outstanding on the immediately preceding December 31, or (c) an amount determined by the Company’s board of directors.</w:t>
      </w:r>
    </w:p>
    <w:p>
      <w:pPr>
        <w:spacing w:after="0" w:line="28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Company’s 2020 Employee Stock Purchase Plan (“ESPP”) provides for annual increases in the number of shares that may be issued under the ESPP on January 1, 2021 and each subsequent January 1, thereafter, by a number of shares equal to the least of (a) 646,000 shares, (b) 1% of the number of shares of common stock issued and outstanding on the immediately preceding December 31, or (c) an amount determined by the Company’s board of directors.</w:t>
      </w:r>
    </w:p>
    <w:p>
      <w:pPr>
        <w:spacing w:after="0" w:line="269"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Effective January 1, 2021, the Company’s 2020 Plan and ESPP reserves increased by 1,624,259 shares and 324,851 shares, respectively.</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six months ended June 30, 2021, the Company issued 15,867 shares of common stock to service providers under the ESPP.</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Stock-based Compensation</w:t>
      </w:r>
    </w:p>
    <w:p>
      <w:pPr>
        <w:spacing w:after="0" w:line="270"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74"/>
        </w:trPr>
        <w:tc>
          <w:tcPr>
            <w:tcW w:w="4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7"/>
        </w:trPr>
        <w:tc>
          <w:tcPr>
            <w:tcW w:w="40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07"/>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8"/>
                <w:szCs w:val="18"/>
                <w:color w:val="auto"/>
              </w:rPr>
            </w:pPr>
          </w:p>
        </w:tc>
      </w:tr>
      <w:tr>
        <w:trPr>
          <w:trHeight w:val="214"/>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FF0FC"/>
            </w:tcBorders>
          </w:tcPr>
          <w:p>
            <w:pPr>
              <w:spacing w:after="0"/>
              <w:rPr>
                <w:sz w:val="18"/>
                <w:szCs w:val="18"/>
                <w:color w:val="auto"/>
              </w:rPr>
            </w:pPr>
          </w:p>
        </w:tc>
      </w:tr>
      <w:tr>
        <w:trPr>
          <w:trHeight w:val="207"/>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FF0FC"/>
          </w:tcPr>
          <w:p>
            <w:pPr>
              <w:spacing w:after="0"/>
              <w:rPr>
                <w:sz w:val="18"/>
                <w:szCs w:val="18"/>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70" w:lineRule="exact"/>
        <w:rPr>
          <w:sz w:val="20"/>
          <w:szCs w:val="20"/>
          <w:color w:val="auto"/>
        </w:rPr>
      </w:pPr>
    </w:p>
    <w:p>
      <w:pPr>
        <w:ind w:right="20" w:firstLine="510"/>
        <w:spacing w:after="0" w:line="239"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78" w:lineRule="exact"/>
        <w:rPr>
          <w:sz w:val="20"/>
          <w:szCs w:val="20"/>
          <w:color w:val="auto"/>
        </w:rPr>
      </w:pPr>
    </w:p>
    <w:p>
      <w:pPr>
        <w:jc w:val="both"/>
        <w:ind w:left="1020" w:hanging="505"/>
        <w:spacing w:after="0" w:line="23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previously there was no public market for the Company’s common stock, the board of directors exercised reasonable judgment and considered a number of objective and subjective factors to determine the best estimate of the fair market value, which include contemporaneous valuations performed by an independent third party, important developments in the Company’s operations, sales of convertible preferred stock, the rights, preferences and privileges of its convertible preferred stock relative to those of its common stock, lack of marketability of its common stock, actual operating results, financial performance, the progress of clinical development, the likelihood of achieving a liquidity event for its security holders, the trends, development and conditions in the life sciences and biotechnology sectors, the economy in general, and the stock price performance and volatility of comparable public companies.</w:t>
      </w:r>
    </w:p>
    <w:p>
      <w:pPr>
        <w:spacing w:after="0" w:line="80" w:lineRule="exact"/>
        <w:rPr>
          <w:rFonts w:ascii="Arial" w:cs="Arial" w:eastAsia="Arial" w:hAnsi="Arial"/>
          <w:sz w:val="18"/>
          <w:szCs w:val="18"/>
          <w:color w:val="auto"/>
        </w:rPr>
      </w:pPr>
    </w:p>
    <w:p>
      <w:pPr>
        <w:ind w:left="1020" w:hanging="505"/>
        <w:spacing w:after="0" w:line="26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periods corresponding with the expected term of the option.</w:t>
      </w:r>
    </w:p>
    <w:p>
      <w:pPr>
        <w:spacing w:after="0" w:line="59" w:lineRule="exact"/>
        <w:rPr>
          <w:rFonts w:ascii="Arial" w:cs="Arial" w:eastAsia="Arial" w:hAnsi="Arial"/>
          <w:sz w:val="18"/>
          <w:szCs w:val="18"/>
          <w:color w:val="auto"/>
        </w:rPr>
      </w:pPr>
    </w:p>
    <w:p>
      <w:pPr>
        <w:jc w:val="both"/>
        <w:ind w:left="1020" w:hanging="505"/>
        <w:spacing w:after="0" w:line="23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79" w:lineRule="exact"/>
        <w:rPr>
          <w:rFonts w:ascii="Arial" w:cs="Arial" w:eastAsia="Arial" w:hAnsi="Arial"/>
          <w:sz w:val="18"/>
          <w:szCs w:val="18"/>
          <w:color w:val="auto"/>
        </w:rPr>
      </w:pPr>
    </w:p>
    <w:p>
      <w:pPr>
        <w:jc w:val="both"/>
        <w:ind w:left="1020" w:hanging="505"/>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72" w:lineRule="exact"/>
        <w:rPr>
          <w:rFonts w:ascii="Arial" w:cs="Arial" w:eastAsia="Arial" w:hAnsi="Arial"/>
          <w:sz w:val="18"/>
          <w:szCs w:val="18"/>
          <w:color w:val="auto"/>
        </w:rPr>
      </w:pPr>
    </w:p>
    <w:p>
      <w:pPr>
        <w:ind w:left="1020" w:right="20" w:hanging="505"/>
        <w:spacing w:after="0" w:line="26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 going</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Therefore, it used an expected dividend yield of zero.</w:t>
      </w:r>
    </w:p>
    <w:p>
      <w:pPr>
        <w:spacing w:after="0" w:line="225" w:lineRule="exact"/>
        <w:rPr>
          <w:sz w:val="20"/>
          <w:szCs w:val="20"/>
          <w:color w:val="auto"/>
        </w:rPr>
      </w:pPr>
    </w:p>
    <w:p>
      <w:pPr>
        <w:jc w:val="both"/>
        <w:ind w:firstLine="510"/>
        <w:spacing w:after="0" w:line="207"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26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r>
      <w:tr>
        <w:trPr>
          <w:trHeight w:val="167"/>
        </w:trPr>
        <w:tc>
          <w:tcPr>
            <w:tcW w:w="5240" w:type="dxa"/>
            <w:vAlign w:val="bottom"/>
            <w:tcBorders>
              <w:bottom w:val="single" w:sz="8" w:color="CFF0FC"/>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0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0.80%</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r>
      <w:tr>
        <w:trPr>
          <w:trHeight w:val="214"/>
        </w:trPr>
        <w:tc>
          <w:tcPr>
            <w:tcW w:w="524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89.34%</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78.15%</w:t>
            </w:r>
          </w:p>
        </w:tc>
      </w:tr>
      <w:tr>
        <w:trPr>
          <w:trHeight w:val="214"/>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FF0FC"/>
          </w:tcPr>
          <w:p>
            <w:pPr>
              <w:spacing w:after="0"/>
              <w:rPr>
                <w:sz w:val="18"/>
                <w:szCs w:val="18"/>
                <w:color w:val="auto"/>
              </w:rPr>
            </w:pPr>
          </w:p>
        </w:tc>
      </w:tr>
      <w:tr>
        <w:trPr>
          <w:trHeight w:val="226"/>
        </w:trPr>
        <w:tc>
          <w:tcPr>
            <w:tcW w:w="5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weighted-average grant-date fair value of options granted to employees and directors during the six months ended June 30, 2021 and 2020 was $10.2 million and $ 32,000 respectively. No options were granted to advisors during the six months ended June 30, 2021. The remeasured weighted-average fair value of options granted to advisors during the six months ended June 30, 2020 was $10,000.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Changes in shares available for grant under the 2020 Plan during the six months ended June 30, 2021 were as follows:</w:t>
      </w:r>
    </w:p>
    <w:p>
      <w:pPr>
        <w:sectPr>
          <w:pgSz w:w="11900" w:h="16838" w:orient="portrait"/>
          <w:cols w:equalWidth="0" w:num="1">
            <w:col w:w="11240"/>
          </w:cols>
          <w:pgMar w:left="320" w:top="5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Shares available for grant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-139700</wp:posOffset>
            </wp:positionV>
            <wp:extent cx="4279900" cy="144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79900" cy="14414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2020 Plan reserve increase on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-3175</wp:posOffset>
            </wp:positionV>
            <wp:extent cx="4279900" cy="135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79900" cy="13589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Options and restricted stock units granted</w:t>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Options forfeited, cancelled, or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-3175</wp:posOffset>
            </wp:positionV>
            <wp:extent cx="4279900" cy="153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79900" cy="15303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Shares available for grant at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2580"/>
        <w:spacing w:after="0"/>
        <w:rPr>
          <w:sz w:val="20"/>
          <w:szCs w:val="20"/>
          <w:color w:val="auto"/>
        </w:rPr>
      </w:pPr>
      <w:r>
        <w:rPr>
          <w:rFonts w:ascii="Arial" w:cs="Arial" w:eastAsia="Arial" w:hAnsi="Arial"/>
          <w:sz w:val="14"/>
          <w:szCs w:val="14"/>
          <w:b w:val="1"/>
          <w:bCs w:val="1"/>
          <w:color w:val="auto"/>
        </w:rPr>
        <w:t>Shares</w:t>
      </w:r>
    </w:p>
    <w:p>
      <w:pPr>
        <w:spacing w:after="0" w:line="17" w:lineRule="exact"/>
        <w:rPr>
          <w:sz w:val="20"/>
          <w:szCs w:val="20"/>
          <w:color w:val="auto"/>
        </w:rPr>
      </w:pPr>
    </w:p>
    <w:p>
      <w:pPr>
        <w:jc w:val="center"/>
        <w:ind w:right="2580"/>
        <w:spacing w:after="0"/>
        <w:rPr>
          <w:sz w:val="20"/>
          <w:szCs w:val="20"/>
          <w:color w:val="auto"/>
        </w:rPr>
      </w:pPr>
      <w:r>
        <w:rPr>
          <w:rFonts w:ascii="Arial" w:cs="Arial" w:eastAsia="Arial" w:hAnsi="Arial"/>
          <w:sz w:val="14"/>
          <w:szCs w:val="14"/>
          <w:b w:val="1"/>
          <w:bCs w:val="1"/>
          <w:color w:val="auto"/>
        </w:rPr>
        <w:t>Available</w:t>
      </w:r>
    </w:p>
    <w:p>
      <w:pPr>
        <w:jc w:val="center"/>
        <w:ind w:right="2580"/>
        <w:spacing w:after="0"/>
        <w:rPr>
          <w:sz w:val="20"/>
          <w:szCs w:val="20"/>
          <w:color w:val="auto"/>
        </w:rPr>
      </w:pPr>
      <w:r>
        <w:rPr>
          <w:rFonts w:ascii="Arial" w:cs="Arial" w:eastAsia="Arial" w:hAnsi="Arial"/>
          <w:sz w:val="14"/>
          <w:szCs w:val="14"/>
          <w:b w:val="1"/>
          <w:bCs w:val="1"/>
          <w:color w:val="auto"/>
        </w:rPr>
        <w:t>for Grant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3,742,235</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1,624,259</w:t>
      </w:r>
    </w:p>
    <w:p>
      <w:pPr>
        <w:spacing w:after="0" w:line="7"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(661,928)</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2,400</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4,706,966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13335</wp:posOffset>
            </wp:positionV>
            <wp:extent cx="713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200"/>
          </w:cols>
          <w:pgMar w:left="320" w:top="545" w:right="339" w:bottom="1440" w:gutter="0" w:footer="0" w:header="0"/>
          <w:type w:val="continuous"/>
        </w:sectPr>
      </w:pP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under the 2020 Plan for the six months ended June 30, 2021 was as follows:</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3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3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Intrinsic</w:t>
            </w:r>
          </w:p>
        </w:tc>
      </w:tr>
      <w:tr>
        <w:trPr>
          <w:trHeight w:val="160"/>
        </w:trPr>
        <w:tc>
          <w:tcPr>
            <w:tcW w:w="3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Exercise</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r>
      <w:tr>
        <w:trPr>
          <w:trHeight w:val="160"/>
        </w:trPr>
        <w:tc>
          <w:tcPr>
            <w:tcW w:w="3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price</w:t>
            </w: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w:t>
            </w:r>
          </w:p>
        </w:tc>
      </w:tr>
      <w:tr>
        <w:trPr>
          <w:trHeight w:val="174"/>
        </w:trPr>
        <w:tc>
          <w:tcPr>
            <w:tcW w:w="3920" w:type="dxa"/>
            <w:vAlign w:val="bottom"/>
          </w:tcPr>
          <w:p>
            <w:pPr>
              <w:spacing w:after="0"/>
              <w:rPr>
                <w:sz w:val="15"/>
                <w:szCs w:val="15"/>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per Share</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years)</w:t>
            </w: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thousands)</w:t>
            </w:r>
          </w:p>
        </w:tc>
      </w:tr>
      <w:tr>
        <w:trPr>
          <w:trHeight w:val="207"/>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1,974,870</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49,275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392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658,776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20.96</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(148,544)</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3920" w:type="dxa"/>
            <w:vAlign w:val="bottom"/>
          </w:tcPr>
          <w:p>
            <w:pPr>
              <w:spacing w:after="0"/>
              <w:rPr>
                <w:sz w:val="20"/>
                <w:szCs w:val="20"/>
                <w:color w:val="auto"/>
              </w:rPr>
            </w:pPr>
            <w:r>
              <w:rPr>
                <w:rFonts w:ascii="Arial" w:cs="Arial" w:eastAsia="Arial" w:hAnsi="Arial"/>
                <w:sz w:val="18"/>
                <w:szCs w:val="18"/>
                <w:color w:val="auto"/>
              </w:rPr>
              <w:t>Forfeited/expired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(2,400)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21.40</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2,482,702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3920" w:type="dxa"/>
            <w:vAlign w:val="bottom"/>
            <w:tcBorders>
              <w:bottom w:val="single" w:sz="8" w:color="CFF0FC"/>
            </w:tcBorders>
          </w:tcPr>
          <w:p>
            <w:pPr>
              <w:spacing w:after="0" w:line="195" w:lineRule="exact"/>
              <w:rPr>
                <w:sz w:val="20"/>
                <w:szCs w:val="20"/>
                <w:color w:val="auto"/>
              </w:rPr>
            </w:pPr>
            <w:r>
              <w:rPr>
                <w:rFonts w:ascii="Arial" w:cs="Arial" w:eastAsia="Arial" w:hAnsi="Arial"/>
                <w:sz w:val="18"/>
                <w:szCs w:val="18"/>
                <w:color w:val="auto"/>
              </w:rPr>
              <w:t>Expected to vest</w:t>
            </w:r>
          </w:p>
        </w:tc>
        <w:tc>
          <w:tcPr>
            <w:tcW w:w="13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1,855,435</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jc w:val="right"/>
              <w:ind w:right="31"/>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tcPr>
          <w:p>
            <w:pPr>
              <w:jc w:val="right"/>
              <w:spacing w:after="0" w:line="195" w:lineRule="exact"/>
              <w:rPr>
                <w:sz w:val="20"/>
                <w:szCs w:val="20"/>
                <w:color w:val="auto"/>
              </w:rPr>
            </w:pPr>
            <w:r>
              <w:rPr>
                <w:rFonts w:ascii="Arial" w:cs="Arial" w:eastAsia="Arial" w:hAnsi="Arial"/>
                <w:sz w:val="18"/>
                <w:szCs w:val="18"/>
                <w:color w:val="auto"/>
              </w:rPr>
              <w:t>16.54</w:t>
            </w:r>
          </w:p>
        </w:tc>
        <w:tc>
          <w:tcPr>
            <w:tcW w:w="24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line="195" w:lineRule="exact"/>
              <w:rPr>
                <w:sz w:val="20"/>
                <w:szCs w:val="20"/>
                <w:color w:val="auto"/>
              </w:rPr>
            </w:pPr>
            <w:r>
              <w:rPr>
                <w:rFonts w:ascii="Arial" w:cs="Arial" w:eastAsia="Arial" w:hAnsi="Arial"/>
                <w:sz w:val="18"/>
                <w:szCs w:val="18"/>
                <w:color w:val="auto"/>
              </w:rPr>
              <w:t>9.19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jc w:val="right"/>
              <w:ind w:right="11"/>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tcPr>
          <w:p>
            <w:pPr>
              <w:jc w:val="right"/>
              <w:spacing w:after="0" w:line="195" w:lineRule="exact"/>
              <w:rPr>
                <w:sz w:val="20"/>
                <w:szCs w:val="20"/>
                <w:color w:val="auto"/>
              </w:rPr>
            </w:pPr>
            <w:r>
              <w:rPr>
                <w:rFonts w:ascii="Arial" w:cs="Arial" w:eastAsia="Arial" w:hAnsi="Arial"/>
                <w:sz w:val="18"/>
                <w:szCs w:val="18"/>
                <w:color w:val="auto"/>
              </w:rPr>
              <w:t>2,210</w:t>
            </w:r>
          </w:p>
        </w:tc>
        <w:tc>
          <w:tcPr>
            <w:tcW w:w="100" w:type="dxa"/>
            <w:vAlign w:val="bottom"/>
            <w:tcBorders>
              <w:bottom w:val="single" w:sz="8" w:color="CFF0FC"/>
            </w:tcBorders>
          </w:tcPr>
          <w:p>
            <w:pPr>
              <w:spacing w:after="0"/>
              <w:rPr>
                <w:sz w:val="20"/>
                <w:szCs w:val="20"/>
                <w:color w:val="auto"/>
              </w:rPr>
            </w:pPr>
          </w:p>
        </w:tc>
      </w:tr>
      <w:tr>
        <w:trPr>
          <w:trHeight w:val="194"/>
        </w:trPr>
        <w:tc>
          <w:tcPr>
            <w:tcW w:w="3920" w:type="dxa"/>
            <w:vAlign w:val="bottom"/>
            <w:tcBorders>
              <w:bottom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Options exercisable</w:t>
            </w:r>
          </w:p>
        </w:tc>
        <w:tc>
          <w:tcPr>
            <w:tcW w:w="13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627,267</w:t>
            </w: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jc w:val="right"/>
              <w:ind w:right="31"/>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2.01</w:t>
            </w:r>
          </w:p>
        </w:tc>
        <w:tc>
          <w:tcPr>
            <w:tcW w:w="24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5.18</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jc w:val="right"/>
              <w:ind w:right="11"/>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5,491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six months ended June 30, 2021 was $297,000, which included $261,000 for options granted to employees and directors and $36,000 for options granted to advisors. The total fair value of options that vested during the six months ended June 30, 2020 was $124,000, which included $72,000 for options granted to employees and directors and $52,000 for options granted to advisors.</w:t>
      </w:r>
    </w:p>
    <w:p>
      <w:pPr>
        <w:spacing w:after="0" w:line="242"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in-the-money at June 30, 2021. The aggregate intrinsic value of options exercised was $ 1.3 million during each of the six months ended June 30, 2021 and 2020, determined as of the date of option exercise. As of June 30, 2021, there was $ 12.2 million of total unrecognized compensation cost related to unvested stock options. The Company expects to recognize this cost over a remaining weighted-average period of 1.60 years. The Company utilizes newly issued shares to satisfy option exercises.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type w:val="continuous"/>
        </w:sectPr>
      </w:pPr>
    </w:p>
    <w:bookmarkStart w:id="21" w:name="page22"/>
    <w:bookmarkEnd w:id="21"/>
    <w:p>
      <w:pPr>
        <w:ind w:left="520"/>
        <w:spacing w:after="0"/>
        <w:rPr>
          <w:sz w:val="20"/>
          <w:szCs w:val="20"/>
          <w:color w:val="auto"/>
        </w:rPr>
      </w:pPr>
      <w:r>
        <w:rPr>
          <w:rFonts w:ascii="Arial" w:cs="Arial" w:eastAsia="Arial" w:hAnsi="Arial"/>
          <w:sz w:val="18"/>
          <w:szCs w:val="18"/>
          <w:color w:val="auto"/>
        </w:rPr>
        <w:t>Stock options outstanding and exercisable under the 2020 Plan consisted of the following at June 30, 2021:</w:t>
      </w:r>
    </w:p>
    <w:p>
      <w:pPr>
        <w:spacing w:after="0" w:line="249" w:lineRule="exact"/>
        <w:rPr>
          <w:sz w:val="20"/>
          <w:szCs w:val="20"/>
          <w:color w:val="auto"/>
        </w:rPr>
      </w:pPr>
    </w:p>
    <w:tbl>
      <w:tblPr>
        <w:tblLayout w:type="fixed"/>
        <w:tblInd w:w="560" w:type="dxa"/>
        <w:tblCellMar>
          <w:top w:w="0" w:type="dxa"/>
          <w:left w:w="0" w:type="dxa"/>
          <w:bottom w:w="0" w:type="dxa"/>
          <w:right w:w="0" w:type="dxa"/>
        </w:tblCellMar>
      </w:tblPr>
      <w:tr>
        <w:trPr>
          <w:trHeight w:val="174"/>
        </w:trPr>
        <w:tc>
          <w:tcPr>
            <w:tcW w:w="12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92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Employees and Directors</w:t>
            </w:r>
          </w:p>
        </w:tc>
        <w:tc>
          <w:tcPr>
            <w:tcW w:w="240" w:type="dxa"/>
            <w:vAlign w:val="bottom"/>
          </w:tcPr>
          <w:p>
            <w:pPr>
              <w:spacing w:after="0"/>
              <w:rPr>
                <w:sz w:val="15"/>
                <w:szCs w:val="15"/>
                <w:color w:val="auto"/>
              </w:rPr>
            </w:pPr>
          </w:p>
        </w:tc>
        <w:tc>
          <w:tcPr>
            <w:tcW w:w="2940" w:type="dxa"/>
            <w:vAlign w:val="bottom"/>
            <w:tcBorders>
              <w:bottom w:val="single" w:sz="8" w:color="auto"/>
            </w:tcBorders>
            <w:gridSpan w:val="3"/>
          </w:tcPr>
          <w:p>
            <w:pPr>
              <w:jc w:val="right"/>
              <w:ind w:right="856"/>
              <w:spacing w:after="0"/>
              <w:rPr>
                <w:sz w:val="20"/>
                <w:szCs w:val="20"/>
                <w:color w:val="auto"/>
              </w:rPr>
            </w:pPr>
            <w:r>
              <w:rPr>
                <w:rFonts w:ascii="Arial" w:cs="Arial" w:eastAsia="Arial" w:hAnsi="Arial"/>
                <w:sz w:val="14"/>
                <w:szCs w:val="14"/>
                <w:b w:val="1"/>
                <w:bCs w:val="1"/>
                <w:color w:val="auto"/>
              </w:rPr>
              <w:t>Non-employees</w:t>
            </w:r>
          </w:p>
        </w:tc>
        <w:tc>
          <w:tcPr>
            <w:tcW w:w="100" w:type="dxa"/>
            <w:vAlign w:val="bottom"/>
          </w:tcPr>
          <w:p>
            <w:pPr>
              <w:spacing w:after="0"/>
              <w:rPr>
                <w:sz w:val="15"/>
                <w:szCs w:val="15"/>
                <w:color w:val="auto"/>
              </w:rPr>
            </w:pPr>
          </w:p>
        </w:tc>
      </w:tr>
      <w:tr>
        <w:trPr>
          <w:trHeight w:val="154"/>
        </w:trPr>
        <w:tc>
          <w:tcPr>
            <w:tcW w:w="12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580" w:type="dxa"/>
            <w:vAlign w:val="bottom"/>
            <w:gridSpan w:val="2"/>
          </w:tcPr>
          <w:p>
            <w:pPr>
              <w:ind w:left="440"/>
              <w:spacing w:after="0" w:line="154" w:lineRule="exact"/>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ind w:left="420"/>
              <w:spacing w:after="0" w:line="154" w:lineRule="exact"/>
              <w:rPr>
                <w:sz w:val="20"/>
                <w:szCs w:val="20"/>
                <w:color w:val="auto"/>
              </w:rPr>
            </w:pPr>
            <w:r>
              <w:rPr>
                <w:rFonts w:ascii="Arial" w:cs="Arial" w:eastAsia="Arial" w:hAnsi="Arial"/>
                <w:sz w:val="14"/>
                <w:szCs w:val="14"/>
                <w:b w:val="1"/>
                <w:bCs w:val="1"/>
                <w:color w:val="auto"/>
              </w:rPr>
              <w:t>Shares</w:t>
            </w:r>
          </w:p>
        </w:tc>
        <w:tc>
          <w:tcPr>
            <w:tcW w:w="1600" w:type="dxa"/>
            <w:vAlign w:val="bottom"/>
            <w:gridSpan w:val="2"/>
          </w:tcPr>
          <w:p>
            <w:pPr>
              <w:ind w:left="440"/>
              <w:spacing w:after="0" w:line="154" w:lineRule="exact"/>
              <w:rPr>
                <w:sz w:val="20"/>
                <w:szCs w:val="20"/>
                <w:color w:val="auto"/>
              </w:rPr>
            </w:pPr>
            <w:r>
              <w:rPr>
                <w:rFonts w:ascii="Arial" w:cs="Arial" w:eastAsia="Arial" w:hAnsi="Arial"/>
                <w:sz w:val="14"/>
                <w:szCs w:val="14"/>
                <w:b w:val="1"/>
                <w:bCs w:val="1"/>
                <w:color w:val="auto"/>
              </w:rPr>
              <w:t>Shares</w:t>
            </w:r>
          </w:p>
        </w:tc>
        <w:tc>
          <w:tcPr>
            <w:tcW w:w="1440" w:type="dxa"/>
            <w:vAlign w:val="bottom"/>
            <w:gridSpan w:val="2"/>
          </w:tcPr>
          <w:p>
            <w:pPr>
              <w:ind w:left="420"/>
              <w:spacing w:after="0" w:line="154" w:lineRule="exact"/>
              <w:rPr>
                <w:sz w:val="20"/>
                <w:szCs w:val="20"/>
                <w:color w:val="auto"/>
              </w:rPr>
            </w:pPr>
            <w:r>
              <w:rPr>
                <w:rFonts w:ascii="Arial" w:cs="Arial" w:eastAsia="Arial" w:hAnsi="Arial"/>
                <w:sz w:val="14"/>
                <w:szCs w:val="14"/>
                <w:b w:val="1"/>
                <w:bCs w:val="1"/>
                <w:color w:val="auto"/>
              </w:rPr>
              <w:t>Shares</w:t>
            </w:r>
          </w:p>
        </w:tc>
      </w:tr>
      <w:tr>
        <w:trPr>
          <w:trHeight w:val="167"/>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72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CFF0FC"/>
            </w:tcBorders>
          </w:tcPr>
          <w:p>
            <w:pPr>
              <w:spacing w:after="0"/>
              <w:rPr>
                <w:sz w:val="14"/>
                <w:szCs w:val="14"/>
                <w:color w:val="auto"/>
              </w:rPr>
            </w:pPr>
          </w:p>
        </w:tc>
      </w:tr>
      <w:tr>
        <w:trPr>
          <w:trHeight w:val="214"/>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0.16 to 1.00</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226,980</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226,980</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3920" w:type="dxa"/>
            <w:vAlign w:val="bottom"/>
            <w:gridSpan w:val="2"/>
          </w:tcPr>
          <w:p>
            <w:pPr>
              <w:spacing w:after="0"/>
              <w:rPr>
                <w:sz w:val="20"/>
                <w:szCs w:val="20"/>
                <w:color w:val="auto"/>
              </w:rPr>
            </w:pPr>
            <w:r>
              <w:rPr>
                <w:rFonts w:ascii="Arial" w:cs="Arial" w:eastAsia="Arial" w:hAnsi="Arial"/>
                <w:sz w:val="18"/>
                <w:szCs w:val="18"/>
                <w:color w:val="auto"/>
              </w:rPr>
              <w:t>1.04 to 1.49</w:t>
            </w:r>
          </w:p>
        </w:tc>
        <w:tc>
          <w:tcPr>
            <w:tcW w:w="1340" w:type="dxa"/>
            <w:vAlign w:val="bottom"/>
          </w:tcPr>
          <w:p>
            <w:pPr>
              <w:jc w:val="right"/>
              <w:spacing w:after="0"/>
              <w:rPr>
                <w:sz w:val="20"/>
                <w:szCs w:val="20"/>
                <w:color w:val="auto"/>
              </w:rPr>
            </w:pPr>
            <w:r>
              <w:rPr>
                <w:rFonts w:ascii="Arial" w:cs="Arial" w:eastAsia="Arial" w:hAnsi="Arial"/>
                <w:sz w:val="18"/>
                <w:szCs w:val="18"/>
                <w:color w:val="auto"/>
              </w:rPr>
              <w:t>468,273</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240,028</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142,014</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121,522</w:t>
            </w:r>
          </w:p>
        </w:tc>
        <w:tc>
          <w:tcPr>
            <w:tcW w:w="100" w:type="dxa"/>
            <w:vAlign w:val="bottom"/>
          </w:tcPr>
          <w:p>
            <w:pPr>
              <w:spacing w:after="0"/>
              <w:rPr>
                <w:sz w:val="18"/>
                <w:szCs w:val="18"/>
                <w:color w:val="auto"/>
              </w:rPr>
            </w:pPr>
          </w:p>
        </w:tc>
      </w:tr>
      <w:tr>
        <w:trPr>
          <w:trHeight w:val="214"/>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17.00 to 19.94</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819,872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33,028</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195,453</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3920" w:type="dxa"/>
            <w:vAlign w:val="bottom"/>
            <w:gridSpan w:val="2"/>
          </w:tcPr>
          <w:p>
            <w:pPr>
              <w:spacing w:after="0"/>
              <w:rPr>
                <w:sz w:val="20"/>
                <w:szCs w:val="20"/>
                <w:color w:val="auto"/>
              </w:rPr>
            </w:pPr>
            <w:r>
              <w:rPr>
                <w:rFonts w:ascii="Arial" w:cs="Arial" w:eastAsia="Arial" w:hAnsi="Arial"/>
                <w:sz w:val="18"/>
                <w:szCs w:val="18"/>
                <w:color w:val="auto"/>
              </w:rPr>
              <w:t>20.55 to 29.41</w:t>
            </w:r>
          </w:p>
        </w:tc>
        <w:tc>
          <w:tcPr>
            <w:tcW w:w="1340" w:type="dxa"/>
            <w:vAlign w:val="bottom"/>
          </w:tcPr>
          <w:p>
            <w:pPr>
              <w:jc w:val="right"/>
              <w:spacing w:after="0"/>
              <w:rPr>
                <w:sz w:val="20"/>
                <w:szCs w:val="20"/>
                <w:color w:val="auto"/>
              </w:rPr>
            </w:pPr>
            <w:r>
              <w:rPr>
                <w:rFonts w:ascii="Arial" w:cs="Arial" w:eastAsia="Arial" w:hAnsi="Arial"/>
                <w:sz w:val="18"/>
                <w:szCs w:val="18"/>
                <w:color w:val="auto"/>
              </w:rPr>
              <w:t>630,110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5,709</w:t>
            </w:r>
          </w:p>
        </w:tc>
        <w:tc>
          <w:tcPr>
            <w:tcW w:w="2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392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2,145,235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505,745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337,467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121,522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31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2018, the Company issued a restricted stock award (“RSA”) to an advisor under the Company’s 2014 Equity Incentive Plan. The restricted stock award vests over three years and requires continued service to the Company during the vesting period. The vesting provisions of individual awards may vary as approved by the Company’s board of directors. If continued service terminates for any reason, the Company has the right to repurchase the unvested shares for no consideration. There were 4,204 shares subject to repurchase as of June 30, 2021 and December 31, 2020, all of which were related to non-employee RSAs. No RSAs were granted or vested during the six months ended June 30, 2021.</w:t>
      </w:r>
    </w:p>
    <w:p>
      <w:pPr>
        <w:spacing w:after="0" w:line="3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70"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During the six months ended June 30, 2021, the Company issued a restricted stock unit (“RSU”) award to an advisor under the 2020 Plan. The RSUs will vest in full on August 3, 2021, subject to continued service to the Company during the vesting period.</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RSU activity for the six months ended June 30, 2021 is as follows:</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r>
      <w:tr>
        <w:trPr>
          <w:trHeight w:val="160"/>
        </w:trPr>
        <w:tc>
          <w:tcPr>
            <w:tcW w:w="5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r>
      <w:tr>
        <w:trPr>
          <w:trHeight w:val="160"/>
        </w:trPr>
        <w:tc>
          <w:tcPr>
            <w:tcW w:w="5380" w:type="dxa"/>
            <w:vAlign w:val="bottom"/>
          </w:tcPr>
          <w:p>
            <w:pPr>
              <w:spacing w:after="0"/>
              <w:rPr>
                <w:sz w:val="13"/>
                <w:szCs w:val="13"/>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 Date</w:t>
            </w:r>
          </w:p>
        </w:tc>
      </w:tr>
      <w:tr>
        <w:trPr>
          <w:trHeight w:val="174"/>
        </w:trPr>
        <w:tc>
          <w:tcPr>
            <w:tcW w:w="53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Equivalent</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Borders>
              <w:bottom w:val="single" w:sz="8" w:color="CFF0FC"/>
            </w:tcBorders>
          </w:tcPr>
          <w:p>
            <w:pPr>
              <w:spacing w:after="0"/>
              <w:rPr>
                <w:sz w:val="15"/>
                <w:szCs w:val="15"/>
                <w:color w:val="auto"/>
              </w:rPr>
            </w:pPr>
          </w:p>
        </w:tc>
      </w:tr>
      <w:tr>
        <w:trPr>
          <w:trHeight w:val="20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2020</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3,152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21.15</w:t>
            </w:r>
          </w:p>
        </w:tc>
        <w:tc>
          <w:tcPr>
            <w:tcW w:w="80" w:type="dxa"/>
            <w:vAlign w:val="bottom"/>
          </w:tcPr>
          <w:p>
            <w:pPr>
              <w:spacing w:after="0"/>
              <w:rPr>
                <w:sz w:val="18"/>
                <w:szCs w:val="18"/>
                <w:color w:val="auto"/>
              </w:rPr>
            </w:pPr>
          </w:p>
        </w:tc>
      </w:tr>
      <w:tr>
        <w:trPr>
          <w:trHeight w:val="214"/>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(1,576)</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80" w:type="dxa"/>
            <w:vAlign w:val="bottom"/>
            <w:shd w:val="clear" w:color="auto" w:fill="CFF0FC"/>
          </w:tcPr>
          <w:p>
            <w:pPr>
              <w:spacing w:after="0"/>
              <w:rPr>
                <w:sz w:val="18"/>
                <w:szCs w:val="18"/>
                <w:color w:val="auto"/>
              </w:rPr>
            </w:pPr>
          </w:p>
        </w:tc>
      </w:tr>
      <w:tr>
        <w:trPr>
          <w:trHeight w:val="207"/>
        </w:trPr>
        <w:tc>
          <w:tcPr>
            <w:tcW w:w="5380" w:type="dxa"/>
            <w:vAlign w:val="bottom"/>
          </w:tcPr>
          <w:p>
            <w:pPr>
              <w:spacing w:after="0"/>
              <w:rPr>
                <w:sz w:val="20"/>
                <w:szCs w:val="20"/>
                <w:color w:val="auto"/>
              </w:rPr>
            </w:pPr>
            <w:r>
              <w:rPr>
                <w:rFonts w:ascii="Arial" w:cs="Arial" w:eastAsia="Arial" w:hAnsi="Arial"/>
                <w:sz w:val="18"/>
                <w:szCs w:val="18"/>
                <w:color w:val="auto"/>
              </w:rPr>
              <w:t>Non-vested at June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13. Net Loss Per Share Attributable to Common Stockholders</w:t>
      </w:r>
    </w:p>
    <w:p>
      <w:pPr>
        <w:spacing w:after="0" w:line="256" w:lineRule="exact"/>
        <w:rPr>
          <w:sz w:val="20"/>
          <w:szCs w:val="20"/>
          <w:color w:val="auto"/>
        </w:rPr>
      </w:pPr>
    </w:p>
    <w:p>
      <w:pPr>
        <w:ind w:firstLine="510"/>
        <w:spacing w:after="0" w:line="239" w:lineRule="auto"/>
        <w:rPr>
          <w:sz w:val="20"/>
          <w:szCs w:val="20"/>
          <w:color w:val="auto"/>
        </w:rPr>
      </w:pPr>
      <w:r>
        <w:rPr>
          <w:rFonts w:ascii="Arial" w:cs="Arial" w:eastAsia="Arial" w:hAnsi="Arial"/>
          <w:sz w:val="18"/>
          <w:szCs w:val="18"/>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4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358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7"/>
              <w:spacing w:after="0" w:line="154"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3"/>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w w:val="94"/>
              </w:rPr>
              <w:t>Convertible preferred stock on an as-converted</w:t>
            </w:r>
          </w:p>
        </w:tc>
        <w:tc>
          <w:tcPr>
            <w:tcW w:w="18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basis</w:t>
            </w:r>
          </w:p>
        </w:tc>
        <w:tc>
          <w:tcPr>
            <w:tcW w:w="18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12,503,009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Non-vested RSAs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4,204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Non-vested RSUs</w:t>
            </w:r>
          </w:p>
        </w:tc>
        <w:tc>
          <w:tcPr>
            <w:tcW w:w="2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1,576</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2,482,702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1,258,787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Common stock warrants</w:t>
            </w:r>
          </w:p>
        </w:tc>
        <w:tc>
          <w:tcPr>
            <w:tcW w:w="18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1,658,411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warrants</w:t>
            </w:r>
          </w:p>
        </w:tc>
        <w:tc>
          <w:tcPr>
            <w:tcW w:w="18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2,489,446</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15,556,095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40" w:type="dxa"/>
            <w:vAlign w:val="bottom"/>
            <w:vMerge w:val="restart"/>
          </w:tcPr>
          <w:p>
            <w:pPr>
              <w:jc w:val="right"/>
              <w:ind w:right="1311"/>
              <w:spacing w:after="0"/>
              <w:rPr>
                <w:sz w:val="20"/>
                <w:szCs w:val="20"/>
                <w:color w:val="auto"/>
              </w:rPr>
            </w:pPr>
            <w:r>
              <w:rPr>
                <w:rFonts w:ascii="Arial" w:cs="Arial" w:eastAsia="Arial" w:hAnsi="Arial"/>
                <w:sz w:val="18"/>
                <w:szCs w:val="18"/>
                <w:color w:val="auto"/>
              </w:rPr>
              <w:t>22</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in conjunction with our unaudited condensed consolidated financial statements and notes thereto included in Part I, Item 1 of this Quarterly Report on Form 10-Q and with our audited financial statements and related notes thereto and Management’s Discussion and Analysis of Financial Condition and Results of Operations included in our Annual Report on Form 10-K, filed with the Securities and Exchange Commission, or the SEC, on March 25,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This Quarterly Report on Form 10-Q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and Section 21E of the Securities Exchange Act of 1934, as amended.</w:t>
      </w:r>
    </w:p>
    <w:p>
      <w:pPr>
        <w:spacing w:after="0" w:line="244"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 statements include, but are not limited to, statements about:</w:t>
      </w:r>
    </w:p>
    <w:p>
      <w:pPr>
        <w:spacing w:after="0" w:line="95" w:lineRule="exact"/>
        <w:rPr>
          <w:sz w:val="20"/>
          <w:szCs w:val="20"/>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develop and commercialize our product candidates;</w:t>
      </w:r>
    </w:p>
    <w:p>
      <w:pPr>
        <w:spacing w:after="0" w:line="125" w:lineRule="exact"/>
        <w:rPr>
          <w:rFonts w:ascii="Arial" w:cs="Arial" w:eastAsia="Arial" w:hAnsi="Arial"/>
          <w:sz w:val="17"/>
          <w:szCs w:val="17"/>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3" w:name="page24"/>
    <w:bookmarkEnd w:id="23"/>
    <w:p>
      <w:pPr>
        <w:ind w:left="1020" w:hanging="50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beneficial characteristics, safety and efficacy of our product candidates;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jurisdictions;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in the United States and other jurisdictions, and any related restrictions, limitations and/or warnings in the label of any approved product candidate;</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25" w:lineRule="exact"/>
        <w:rPr>
          <w:rFonts w:ascii="Arial" w:cs="Arial" w:eastAsia="Arial" w:hAnsi="Arial"/>
          <w:sz w:val="17"/>
          <w:szCs w:val="17"/>
          <w:color w:val="auto"/>
        </w:rPr>
      </w:pPr>
    </w:p>
    <w:p>
      <w:pPr>
        <w:ind w:left="1020" w:hanging="50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legal proceedings which have been or may in the future be instituted against us and certain of our directors and officers, including the legal proceedings discussed in “Part II, Item I—Legal Proceedings,” and elsewhere in this report;</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the investigation of the independent special committee of our board of directors discussed in “Part II, Item I— Legal Proceedings,” and elsewhere in this report;</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continuing impact of COVID-19 on our business;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benefits of any strategic collaboration agreements we may enter into;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61"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In this report, “we,” “our,” “us,” “Athira,” and “the Company” refer to Athira Pharma, Inc.</w:t>
      </w:r>
    </w:p>
    <w:p>
      <w:pPr>
        <w:spacing w:after="0" w:line="23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w:t>
      </w:r>
    </w:p>
    <w:p>
      <w:pPr>
        <w:spacing w:after="0" w:line="231"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Our lead candidate, ATH-1017, is a subcutaneous administered, BBB-penetrating, small molecule HGF/MET activator. In our Phase 1a/1b clinical trial, ATH-1017 for the treatment of Alzheimer’s disease, or AD, was well tolerated with no serious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24" w:name="page25"/>
    <w:bookmarkEnd w:id="24"/>
    <w:p>
      <w:pPr>
        <w:jc w:val="both"/>
        <w:spacing w:after="0" w:line="233" w:lineRule="auto"/>
        <w:rPr>
          <w:sz w:val="20"/>
          <w:szCs w:val="20"/>
          <w:color w:val="auto"/>
        </w:rPr>
      </w:pPr>
      <w:r>
        <w:rPr>
          <w:rFonts w:ascii="Arial" w:cs="Arial" w:eastAsia="Arial" w:hAnsi="Arial"/>
          <w:sz w:val="18"/>
          <w:szCs w:val="18"/>
          <w:color w:val="auto"/>
        </w:rPr>
        <w:t>adverse events. This clinical trial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our Phase 2/3 clinical trial for ATH-1017 that may provide pivotal data in support of registration, for the treatment of mild-to-moderate AD, with topline results expected by the end of 2022. In November 2020, we also initiated ACT-AD, a P300 Phase 2 clinical trial, in mild-to-moderate AD to better understand the overall effects of ATH-1017 on working memory processing speed and cognitive measures, with topline results expected in the first half of 2022. In July 2021, we announced that we are enrolling patients into an open-label extension study for our LIFT-AD and ACT-AD clinical trials, which will allow us to collect up to one year of safety and efficacy data on ATH-1017. Beyond AD, we believe that ATH-1017 can potentially address the broader dementia patient population.</w:t>
      </w:r>
    </w:p>
    <w:p>
      <w:pPr>
        <w:spacing w:after="0" w:line="23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6590030" cy="35071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0030" cy="350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 w:hanging="513"/>
        <w:spacing w:after="0"/>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RoA: route of administration; SC: subcutaneous; PO: oral.</w:t>
      </w:r>
    </w:p>
    <w:p>
      <w:pPr>
        <w:spacing w:after="0" w:line="2" w:lineRule="exact"/>
        <w:rPr>
          <w:rFonts w:ascii="Arial" w:cs="Arial" w:eastAsia="Arial" w:hAnsi="Arial"/>
          <w:sz w:val="24"/>
          <w:szCs w:val="24"/>
          <w:color w:val="auto"/>
          <w:vertAlign w:val="superscript"/>
        </w:rPr>
      </w:pPr>
    </w:p>
    <w:p>
      <w:pPr>
        <w:ind w:left="520" w:hanging="513"/>
        <w:spacing w:after="0" w:line="186" w:lineRule="auto"/>
        <w:tabs>
          <w:tab w:leader="none" w:pos="520" w:val="left"/>
        </w:tabs>
        <w:numPr>
          <w:ilvl w:val="0"/>
          <w:numId w:val="12"/>
        </w:numPr>
        <w:rPr>
          <w:rFonts w:ascii="Arial" w:cs="Arial" w:eastAsia="Arial" w:hAnsi="Arial"/>
          <w:sz w:val="18"/>
          <w:szCs w:val="18"/>
          <w:color w:val="auto"/>
          <w:vertAlign w:val="superscript"/>
        </w:rPr>
      </w:pPr>
      <w:r>
        <w:rPr>
          <w:rFonts w:ascii="Arial" w:cs="Arial" w:eastAsia="Arial" w:hAnsi="Arial"/>
          <w:sz w:val="11"/>
          <w:szCs w:val="11"/>
          <w:color w:val="auto"/>
        </w:rPr>
        <w:t>ATH-1017 for AD is in a Phase 2/3 clinical trial that may provide pivotal data in support of registration based on discussions with FDA.</w:t>
      </w:r>
    </w:p>
    <w:p>
      <w:pPr>
        <w:ind w:left="520" w:hanging="513"/>
        <w:spacing w:after="0" w:line="187" w:lineRule="auto"/>
        <w:tabs>
          <w:tab w:leader="none" w:pos="520" w:val="left"/>
        </w:tabs>
        <w:numPr>
          <w:ilvl w:val="0"/>
          <w:numId w:val="12"/>
        </w:numPr>
        <w:rPr>
          <w:rFonts w:ascii="Arial" w:cs="Arial" w:eastAsia="Arial" w:hAnsi="Arial"/>
          <w:sz w:val="19"/>
          <w:szCs w:val="19"/>
          <w:color w:val="auto"/>
          <w:vertAlign w:val="superscript"/>
        </w:rPr>
      </w:pPr>
      <w:r>
        <w:rPr>
          <w:rFonts w:ascii="Arial" w:cs="Arial" w:eastAsia="Arial" w:hAnsi="Arial"/>
          <w:sz w:val="12"/>
          <w:szCs w:val="12"/>
          <w:color w:val="auto"/>
        </w:rPr>
        <w:t>PPD clinical development of ATH-1017 will be based on results from our Phase 1a/1b trial and include all required regulatory filings.</w:t>
      </w:r>
    </w:p>
    <w:p>
      <w:pPr>
        <w:spacing w:after="0" w:line="225"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24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5" w:name="page26"/>
    <w:bookmarkEnd w:id="25"/>
    <w:p>
      <w:pPr>
        <w:jc w:val="both"/>
        <w:spacing w:after="0" w:line="239" w:lineRule="auto"/>
        <w:rPr>
          <w:sz w:val="20"/>
          <w:szCs w:val="20"/>
          <w:color w:val="auto"/>
        </w:rPr>
      </w:pPr>
      <w:r>
        <w:rPr>
          <w:rFonts w:ascii="Arial" w:cs="Arial" w:eastAsia="Arial" w:hAnsi="Arial"/>
          <w:sz w:val="18"/>
          <w:szCs w:val="18"/>
          <w:color w:val="auto"/>
        </w:rPr>
        <w:t>product revenue sufficient to achieve profitability, if ever, will depend on the successful development of one or more of our product candidates which we expect will take a number of years.</w:t>
      </w:r>
    </w:p>
    <w:p>
      <w:pPr>
        <w:spacing w:after="0" w:line="23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242"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242"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To date, we have funded our operations primarily through proceeds from the sale of equity securities, including proceeds from the sale and issuance of common stock in our IPO, the sale and issuance of convertible preferred stock, common stock warrants, and convertible notes, and to a lesser extent from grant income and stock option exercises. From inception to June 30, 2021, we have raised aggregate net cash proceeds of approximately $407.4 million primarily from the issuance of our common stock, convertible preferred stock, common stock warrants, and convertible notes. We have incurred significant operating losses to date. Our net losses were $22.8 million and $3.8 million for the six months ended June 30, 2021 and 2020, respectively. As of June 30, 2021, we had an accumulated deficit of $63.9 million and cash, cash equivalents and investments of $349.9 million.</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1" w:lineRule="exact"/>
        <w:rPr>
          <w:sz w:val="20"/>
          <w:szCs w:val="20"/>
          <w:color w:val="auto"/>
        </w:rPr>
      </w:pPr>
    </w:p>
    <w:p>
      <w:pPr>
        <w:ind w:left="1020" w:hanging="505"/>
        <w:spacing w:after="0" w:line="23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advance ATH-1017 and our other product candidates through preclinical studies and clinical trials, including our Phase 2/3 clinical trial for ATH-1017 for the treatment of mild-to-moderate AD;</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pipeline of product candidates;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grow our discovery organization and invest in the ATH platform;</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ramp up manufacturing activities;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laboratory and office facilities;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 and</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legal expenses associated with ongoing litigation and the ongoing investigation of the independent special committee of our board of directors, as further described in “Part II, Item I—Legal Proceedings,” and elsewhere in this report.</w:t>
      </w:r>
    </w:p>
    <w:p>
      <w:pPr>
        <w:spacing w:after="0" w:line="243" w:lineRule="exact"/>
        <w:rPr>
          <w:sz w:val="20"/>
          <w:szCs w:val="20"/>
          <w:color w:val="auto"/>
        </w:rPr>
      </w:pPr>
    </w:p>
    <w:p>
      <w:pPr>
        <w:ind w:firstLine="510"/>
        <w:spacing w:after="0" w:line="239"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6" w:name="page27"/>
    <w:bookmarkEnd w:id="26"/>
    <w:p>
      <w:pPr>
        <w:jc w:val="both"/>
        <w:ind w:firstLine="510"/>
        <w:spacing w:after="0" w:line="233"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at least through 2022.</w:t>
      </w:r>
    </w:p>
    <w:p>
      <w:pPr>
        <w:spacing w:after="0" w:line="236" w:lineRule="exact"/>
        <w:rPr>
          <w:sz w:val="20"/>
          <w:szCs w:val="20"/>
          <w:color w:val="auto"/>
        </w:rPr>
      </w:pPr>
    </w:p>
    <w:p>
      <w:pPr>
        <w:jc w:val="both"/>
        <w:ind w:firstLine="510"/>
        <w:spacing w:after="0" w:line="201" w:lineRule="exact"/>
        <w:rPr>
          <w:sz w:val="20"/>
          <w:szCs w:val="20"/>
          <w:color w:val="auto"/>
        </w:rPr>
      </w:pPr>
      <w:r>
        <w:rPr>
          <w:rFonts w:ascii="Arial" w:cs="Arial" w:eastAsia="Arial" w:hAnsi="Arial"/>
          <w:sz w:val="18"/>
          <w:szCs w:val="18"/>
          <w:color w:val="auto"/>
        </w:rPr>
        <w:t>The global COVID-19 pandemic continues to evolve, and we will continue to monitor the COVID-19 situation closely. While COVID-19 related restrictions have been eased in many locations around the globe, including in Bothell, Washington, where our principal offices are located, a resurgence in cases of COVID-19 or similar health epidemic could occur at any time, and the ultimate impact of the COVID-19 pandemic or a similar health epidemic is highly uncertain and subject to change. In particular, new and highly contagious variants of COVID</w:t>
      </w:r>
      <w:r>
        <w:rPr>
          <w:rFonts w:ascii="MS PGothic" w:cs="MS PGothic" w:eastAsia="MS PGothic" w:hAnsi="MS PGothic"/>
          <w:sz w:val="18"/>
          <w:szCs w:val="18"/>
          <w:color w:val="auto"/>
        </w:rPr>
        <w:t>‑</w:t>
      </w:r>
      <w:r>
        <w:rPr>
          <w:rFonts w:ascii="Arial" w:cs="Arial" w:eastAsia="Arial" w:hAnsi="Arial"/>
          <w:sz w:val="18"/>
          <w:szCs w:val="18"/>
          <w:color w:val="auto"/>
        </w:rPr>
        <w:t>19 continue to emerge and spread quickly throughout certain areas of the United States and elsewhere, and at this point we are unable to determine when and to what extent any such resurgence will affect our business. We will continue to actively monitor the evolving situation and ongoing impacts on our clinical trial enrollment, trial sites, contract research organizations, or CROs, third-party manufacturers, and other third parties with whom we do business, as well as on regulatory authorities and our key scientific and management personnel. As the situation evolves, we may take further actions that alter our operations, including those that may be required by federal, state or local authorities, or that we determine are in the best interests of our employees and other third parties with whom we do business. At this point, the ultimate extent to which the COVID-19 pandemic, or any potential resurgence of a variant thereof, may affect our business, operations and clinical development timelines and plans, including the resulting impact on our expenditures and capital needs, remains uncertain.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Changes</w:t>
      </w:r>
    </w:p>
    <w:p>
      <w:pPr>
        <w:spacing w:after="0" w:line="252"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On June 16, 2021, our board of directors determined to place Leen Kawas, Ph.D., President and Chief Executive Officer of the Company, on temporary paid leave pending a review of papers co-authored by Dr. Kawas in connection with her doctoral research at Washington State University, among other things. The board of directors has formed an independent special committee to undertake this review, which review is ongoing as of the date of this report. Dr. Kawas continues to serve as a member of the board of directors.</w:t>
      </w:r>
    </w:p>
    <w:p>
      <w:pPr>
        <w:spacing w:after="0" w:line="24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On the same day, the board of directors determined that during Dr. Kawas’s leave and effective immediately, Mark Litton, Ph.D., MBA, the Company’s Chief Operating Officer, would continue in that role but would also assume the day-to-day responsibilities of president and chief executive officer.</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On June 1, 2021, we announced that the board of directors appointed Mark Worthington as our General Counsel, effective June 1, 2021. On June 14, 2021, we announced that the board of directors appointed Rachel Lenington as our Chief Technology Officer and Head of Product Development Strategy, effective June 14,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and Committee Composition</w:t>
      </w:r>
    </w:p>
    <w:p>
      <w:pPr>
        <w:spacing w:after="0" w:line="266" w:lineRule="exact"/>
        <w:rPr>
          <w:sz w:val="20"/>
          <w:szCs w:val="20"/>
          <w:color w:val="auto"/>
        </w:rPr>
      </w:pPr>
    </w:p>
    <w:p>
      <w:pPr>
        <w:jc w:val="both"/>
        <w:ind w:right="20" w:firstLine="510"/>
        <w:spacing w:after="0" w:line="239" w:lineRule="auto"/>
        <w:rPr>
          <w:sz w:val="20"/>
          <w:szCs w:val="20"/>
          <w:color w:val="auto"/>
        </w:rPr>
      </w:pPr>
      <w:r>
        <w:rPr>
          <w:rFonts w:ascii="Arial" w:cs="Arial" w:eastAsia="Arial" w:hAnsi="Arial"/>
          <w:sz w:val="18"/>
          <w:szCs w:val="18"/>
          <w:color w:val="auto"/>
        </w:rPr>
        <w:t>On August 5, 2021, we announced that Dr. Tadataka Yamada, M.D., a director and Chair of our board of directors, died unexpectedly of natural causes on August 4, 2021.</w:t>
      </w:r>
    </w:p>
    <w:p>
      <w:pPr>
        <w:spacing w:after="0" w:line="243"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On August 5, 2021, the board of directors appointed Kelly A. Romano as Chair of the board, and Barbara Kosacz as Chair of each of the Compensation Committee and the Nominating and Corporate Governance Committee.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7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232"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242"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7"/>
          <w:szCs w:val="17"/>
          <w:color w:val="auto"/>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expect our research and development expenses will increase substantially as we conduct our Phase 2 and Phase 2/3 clinical trials for ATH-1017, including the open-label extensions for those trials.</w:t>
      </w:r>
    </w:p>
    <w:p>
      <w:pPr>
        <w:spacing w:after="0" w:line="23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96" w:lineRule="exact"/>
        <w:rPr>
          <w:sz w:val="20"/>
          <w:szCs w:val="20"/>
          <w:color w:val="auto"/>
        </w:rPr>
      </w:pPr>
    </w:p>
    <w:p>
      <w:pPr>
        <w:ind w:left="1020" w:hanging="50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phases of development of our product candidates;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and results of our research and development activities;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 subject trial costs;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subjects that participate in the trials;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drop-out and discontinuation rate of subjects;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of subject participation in the trials and follow-up;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8" w:name="page29"/>
    <w:bookmarkEnd w:id="28"/>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manufacturing of our product candidates;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hiring and retention of research and development personnel;</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degree to which we obtain, maintain, defend and enforce our intellectual property rights;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COVID-19 on timelines and clinical operations, which may lead to increased costs;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extent to which we establish collaboration, licensing or similar arrangements and the performance of any related third parties.</w:t>
      </w:r>
    </w:p>
    <w:p>
      <w:pPr>
        <w:spacing w:after="0" w:line="273"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7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24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an increase in legal expenses related to the ongoing class action litigation and independent special committee investigation. We also expect to continue to increase the size of our administrative function to support the growth of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7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Grant income consists of income related to the Part the Cloud, which was completed in 2020, and NIH grants and is recognized as qualifying expenses under the grant agreements are incurred. We expect grant income associated with the NIH grant will increase in future years, as we expect qualifying expenses under the grant terms to increase substantially in relation to our continued research activities and development of our programs. Under the terms of the agreement, we may receive approximately $7.8 million, with the potential for an additional $7.4 million, up to an aggregate of $15.2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5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Other income (expense), net consists of interest earned on our cash, cash equivalents, and investments, periodic mark-to-market gains and losses on the derivative, grant, and convertible preferred stock warrant liabilities carried at fair value, and interest expense on our convertible notes. In the future, we expect investment income to be the primary component of other income, net as the mark-to-market liabilities and convertible notes were all settled in 2020 and will no longer be adjusted to fair value.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9" w:lineRule="exact"/>
        <w:rPr>
          <w:sz w:val="20"/>
          <w:szCs w:val="20"/>
          <w:color w:val="auto"/>
        </w:rPr>
      </w:pPr>
    </w:p>
    <w:tbl>
      <w:tblPr>
        <w:tblLayout w:type="fixed"/>
        <w:tblInd w:w="560" w:type="dxa"/>
        <w:tblCellMar>
          <w:top w:w="0" w:type="dxa"/>
          <w:left w:w="0" w:type="dxa"/>
          <w:bottom w:w="0" w:type="dxa"/>
          <w:right w:w="0" w:type="dxa"/>
        </w:tblCellMar>
      </w:tblPr>
      <w:tr>
        <w:trPr>
          <w:trHeight w:val="174"/>
        </w:trPr>
        <w:tc>
          <w:tcPr>
            <w:tcW w:w="3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 June 30,</w:t>
            </w:r>
          </w:p>
        </w:tc>
        <w:tc>
          <w:tcPr>
            <w:tcW w:w="1120" w:type="dxa"/>
            <w:vAlign w:val="bottom"/>
            <w:tcBorders>
              <w:bottom w:val="single" w:sz="8" w:color="auto"/>
            </w:tcBorders>
          </w:tcPr>
          <w:p>
            <w:pPr>
              <w:spacing w:after="0"/>
              <w:rPr>
                <w:sz w:val="15"/>
                <w:szCs w:val="15"/>
                <w:color w:val="auto"/>
              </w:rPr>
            </w:pPr>
          </w:p>
        </w:tc>
      </w:tr>
      <w:tr>
        <w:trPr>
          <w:trHeight w:val="167"/>
        </w:trPr>
        <w:tc>
          <w:tcPr>
            <w:tcW w:w="3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r>
      <w:tr>
        <w:trPr>
          <w:trHeight w:val="174"/>
        </w:trPr>
        <w:tc>
          <w:tcPr>
            <w:tcW w:w="3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jc w:val="right"/>
              <w:ind w:right="215"/>
              <w:spacing w:after="0"/>
              <w:rPr>
                <w:sz w:val="20"/>
                <w:szCs w:val="20"/>
                <w:color w:val="auto"/>
              </w:rPr>
            </w:pPr>
            <w:r>
              <w:rPr>
                <w:rFonts w:ascii="Arial" w:cs="Arial" w:eastAsia="Arial" w:hAnsi="Arial"/>
                <w:sz w:val="14"/>
                <w:szCs w:val="14"/>
                <w:b w:val="1"/>
                <w:bCs w:val="1"/>
                <w:color w:val="auto"/>
              </w:rPr>
              <w:t>Change</w:t>
            </w:r>
          </w:p>
        </w:tc>
      </w:tr>
      <w:tr>
        <w:trPr>
          <w:trHeight w:val="167"/>
        </w:trPr>
        <w:tc>
          <w:tcPr>
            <w:tcW w:w="3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14"/>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4"/>
        </w:trPr>
        <w:tc>
          <w:tcPr>
            <w:tcW w:w="38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12,024</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10,347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14"/>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4,038</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r>
      <w:tr>
        <w:trPr>
          <w:trHeight w:val="207"/>
        </w:trPr>
        <w:tc>
          <w:tcPr>
            <w:tcW w:w="3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14,385</w:t>
            </w:r>
          </w:p>
        </w:tc>
        <w:tc>
          <w:tcPr>
            <w:tcW w:w="22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639</w:t>
            </w:r>
          </w:p>
        </w:tc>
      </w:tr>
      <w:tr>
        <w:trPr>
          <w:trHeight w:val="207"/>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(16,637)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(2,252)</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(14,385)</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r>
      <w:tr>
        <w:trPr>
          <w:trHeight w:val="214"/>
        </w:trPr>
        <w:tc>
          <w:tcPr>
            <w:tcW w:w="3860" w:type="dxa"/>
            <w:vAlign w:val="bottom"/>
          </w:tcPr>
          <w:p>
            <w:pPr>
              <w:spacing w:after="0"/>
              <w:rPr>
                <w:sz w:val="20"/>
                <w:szCs w:val="20"/>
                <w:color w:val="auto"/>
              </w:rPr>
            </w:pPr>
            <w:r>
              <w:rPr>
                <w:rFonts w:ascii="Arial" w:cs="Arial" w:eastAsia="Arial" w:hAnsi="Arial"/>
                <w:sz w:val="18"/>
                <w:szCs w:val="18"/>
                <w:color w:val="auto"/>
              </w:rPr>
              <w:t>Grant income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4"/>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(186)</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(13,974)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(11,982)</w:t>
            </w:r>
          </w:p>
        </w:tc>
        <w:tc>
          <w:tcPr>
            <w:tcW w:w="112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0"/>
        </w:trPr>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Not meaningful</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49" w:lineRule="exact"/>
        <w:rPr>
          <w:sz w:val="20"/>
          <w:szCs w:val="20"/>
          <w:color w:val="auto"/>
        </w:rPr>
      </w:pPr>
    </w:p>
    <w:tbl>
      <w:tblPr>
        <w:tblLayout w:type="fixed"/>
        <w:tblInd w:w="56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67"/>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Dollar</w:t>
            </w:r>
          </w:p>
        </w:tc>
        <w:tc>
          <w:tcPr>
            <w:tcW w:w="1340" w:type="dxa"/>
            <w:vAlign w:val="bottom"/>
            <w:gridSpan w:val="2"/>
          </w:tcPr>
          <w:p>
            <w:pPr>
              <w:jc w:val="right"/>
              <w:ind w:right="429"/>
              <w:spacing w:after="0"/>
              <w:rPr>
                <w:sz w:val="20"/>
                <w:szCs w:val="20"/>
                <w:color w:val="auto"/>
              </w:rPr>
            </w:pPr>
            <w:r>
              <w:rPr>
                <w:rFonts w:ascii="Arial" w:cs="Arial" w:eastAsia="Arial" w:hAnsi="Arial"/>
                <w:sz w:val="14"/>
                <w:szCs w:val="14"/>
                <w:b w:val="1"/>
                <w:bCs w:val="1"/>
                <w:color w:val="auto"/>
              </w:rPr>
              <w:t>%</w:t>
            </w:r>
          </w:p>
        </w:tc>
      </w:tr>
      <w:tr>
        <w:trPr>
          <w:trHeight w:val="174"/>
        </w:trPr>
        <w:tc>
          <w:tcPr>
            <w:tcW w:w="4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Change</w:t>
            </w:r>
          </w:p>
        </w:tc>
      </w:tr>
      <w:tr>
        <w:trPr>
          <w:trHeight w:val="167"/>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4"/>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4"/>
        </w:trPr>
        <w:tc>
          <w:tcPr>
            <w:tcW w:w="4420" w:type="dxa"/>
            <w:vAlign w:val="bottom"/>
          </w:tcPr>
          <w:p>
            <w:pPr>
              <w:ind w:left="260"/>
              <w:spacing w:after="0"/>
              <w:rPr>
                <w:sz w:val="20"/>
                <w:szCs w:val="20"/>
                <w:color w:val="auto"/>
              </w:rPr>
            </w:pPr>
            <w:r>
              <w:rPr>
                <w:rFonts w:ascii="Arial" w:cs="Arial" w:eastAsia="Arial" w:hAnsi="Arial"/>
                <w:sz w:val="18"/>
                <w:szCs w:val="18"/>
                <w:color w:val="auto"/>
              </w:rPr>
              <w:t>ATH-1017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10,150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8,769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635%</w:t>
            </w:r>
          </w:p>
        </w:tc>
      </w:tr>
      <w:tr>
        <w:trPr>
          <w:trHeight w:val="214"/>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Preclinical programs and other direct costs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7"/>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8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10,722</w:t>
            </w:r>
          </w:p>
        </w:tc>
        <w:tc>
          <w:tcPr>
            <w:tcW w:w="2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9,341</w:t>
            </w:r>
          </w:p>
        </w:tc>
        <w:tc>
          <w:tcPr>
            <w:tcW w:w="13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676</w:t>
            </w:r>
          </w:p>
        </w:tc>
      </w:tr>
      <w:tr>
        <w:trPr>
          <w:trHeight w:val="207"/>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3"/>
        </w:trPr>
        <w:tc>
          <w:tcPr>
            <w:tcW w:w="4420" w:type="dxa"/>
            <w:vAlign w:val="bottom"/>
          </w:tcPr>
          <w:p>
            <w:pPr>
              <w:ind w:left="260"/>
              <w:spacing w:after="0"/>
              <w:rPr>
                <w:sz w:val="20"/>
                <w:szCs w:val="20"/>
                <w:color w:val="auto"/>
              </w:rPr>
            </w:pPr>
            <w:r>
              <w:rPr>
                <w:rFonts w:ascii="Arial" w:cs="Arial" w:eastAsia="Arial" w:hAnsi="Arial"/>
                <w:sz w:val="18"/>
                <w:szCs w:val="18"/>
                <w:color w:val="auto"/>
              </w:rPr>
              <w:t>Personnel-related costs, including stock-</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1"/>
        </w:trPr>
        <w:tc>
          <w:tcPr>
            <w:tcW w:w="4420" w:type="dxa"/>
            <w:vAlign w:val="bottom"/>
          </w:tcPr>
          <w:p>
            <w:pPr>
              <w:ind w:left="400"/>
              <w:spacing w:after="0" w:line="201" w:lineRule="exact"/>
              <w:rPr>
                <w:sz w:val="20"/>
                <w:szCs w:val="20"/>
                <w:color w:val="auto"/>
              </w:rPr>
            </w:pPr>
            <w:r>
              <w:rPr>
                <w:rFonts w:ascii="Arial" w:cs="Arial" w:eastAsia="Arial" w:hAnsi="Arial"/>
                <w:sz w:val="18"/>
                <w:szCs w:val="18"/>
                <w:color w:val="auto"/>
              </w:rPr>
              <w:t>based compensation</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1,114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871</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358</w:t>
            </w:r>
          </w:p>
        </w:tc>
      </w:tr>
      <w:tr>
        <w:trPr>
          <w:trHeight w:val="214"/>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Facilities and other costs</w:t>
            </w:r>
          </w:p>
        </w:tc>
        <w:tc>
          <w:tcPr>
            <w:tcW w:w="8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w:t>
            </w:r>
          </w:p>
        </w:tc>
      </w:tr>
      <w:tr>
        <w:trPr>
          <w:trHeight w:val="207"/>
        </w:trPr>
        <w:tc>
          <w:tcPr>
            <w:tcW w:w="44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12,024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10,347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617</w:t>
            </w:r>
          </w:p>
        </w:tc>
      </w:tr>
      <w:tr>
        <w:trPr>
          <w:trHeight w:val="20"/>
        </w:trPr>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Research and development expenses increased by $10.3 million, from $1.7 million for the three months ended June 30, 2020 to $12.0 million for the three months ended June 30, 2021. The increase was driven primarily by an increase in expenses for ATH-1017 of $ 8.8 million related to continued patient enrollment and clinical site visit activity for our Phase 2 clinical trials, start-up activities associated with our open-label extension for our Phase 2 clinical trials, and clinical drug supply manufacturers in support of our Phase 2 clinical trials, and to lesser extents, by increases in personnel-related costs due primarily to increases in preclinical research and development expenses for new product candidates, and an increase in headcount, facilities, and other costs supporting our general growth.</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General and administrative expenses increased by $4.0 million, from $0.6 million for the three months ended June 30, 2020 to $4.6 million for the three months ended June 30, 2021. The increase was primarily due to an increase in personnel-related costs of $1.7 million, due primarily to an increase in headcount to support our continued growth, an increase in insurance costs of $ 0.8 million, an increase in legal costs of $ 0.6 million, which includes costs related to legal proceedings, an increase in facilities costs of $0.3 million, and to a lesser extent, increases in business development, accounting, technical and consulting services expenses.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56"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Grant income of $2.6 million for the three months ended June 30, 2021 was recognized in connection with the NIH grant. No grant income was recognized during the three months ended June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7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Other income (expense), net, changed from income of $0.3 million for the three months ended June 30, 2020 to income of $0.1 million for the three months ended June 30, 2021. Other income for the three months ended June 30, 2021 consisted of interest income on our available for sale securities. Other income for the three months ended June 30, 2020 consisted of gains on liability instruments recorded at fair value of $0.4 million, offset by $0.1 of accretion of discounts on convertible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9" w:lineRule="exact"/>
        <w:rPr>
          <w:sz w:val="20"/>
          <w:szCs w:val="20"/>
          <w:color w:val="auto"/>
        </w:rPr>
      </w:pPr>
    </w:p>
    <w:tbl>
      <w:tblPr>
        <w:tblLayout w:type="fixed"/>
        <w:tblInd w:w="560" w:type="dxa"/>
        <w:tblCellMar>
          <w:top w:w="0" w:type="dxa"/>
          <w:left w:w="0" w:type="dxa"/>
          <w:bottom w:w="0" w:type="dxa"/>
          <w:right w:w="0" w:type="dxa"/>
        </w:tblCellMar>
      </w:tblPr>
      <w:tr>
        <w:trPr>
          <w:trHeight w:val="174"/>
        </w:trPr>
        <w:tc>
          <w:tcPr>
            <w:tcW w:w="3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1120" w:type="dxa"/>
            <w:vAlign w:val="bottom"/>
            <w:tcBorders>
              <w:bottom w:val="single" w:sz="8" w:color="auto"/>
            </w:tcBorders>
          </w:tcPr>
          <w:p>
            <w:pPr>
              <w:spacing w:after="0"/>
              <w:rPr>
                <w:sz w:val="15"/>
                <w:szCs w:val="15"/>
                <w:color w:val="auto"/>
              </w:rPr>
            </w:pPr>
          </w:p>
        </w:tc>
      </w:tr>
      <w:tr>
        <w:trPr>
          <w:trHeight w:val="167"/>
        </w:trPr>
        <w:tc>
          <w:tcPr>
            <w:tcW w:w="3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r>
      <w:tr>
        <w:trPr>
          <w:trHeight w:val="174"/>
        </w:trPr>
        <w:tc>
          <w:tcPr>
            <w:tcW w:w="3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jc w:val="right"/>
              <w:ind w:right="215"/>
              <w:spacing w:after="0"/>
              <w:rPr>
                <w:sz w:val="20"/>
                <w:szCs w:val="20"/>
                <w:color w:val="auto"/>
              </w:rPr>
            </w:pPr>
            <w:r>
              <w:rPr>
                <w:rFonts w:ascii="Arial" w:cs="Arial" w:eastAsia="Arial" w:hAnsi="Arial"/>
                <w:sz w:val="14"/>
                <w:szCs w:val="14"/>
                <w:b w:val="1"/>
                <w:bCs w:val="1"/>
                <w:color w:val="auto"/>
              </w:rPr>
              <w:t>Change</w:t>
            </w:r>
          </w:p>
        </w:tc>
      </w:tr>
      <w:tr>
        <w:trPr>
          <w:trHeight w:val="167"/>
        </w:trPr>
        <w:tc>
          <w:tcPr>
            <w:tcW w:w="3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14"/>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4"/>
        </w:trPr>
        <w:tc>
          <w:tcPr>
            <w:tcW w:w="38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19,469</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17,200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14"/>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6,699</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r>
      <w:tr>
        <w:trPr>
          <w:trHeight w:val="207"/>
        </w:trPr>
        <w:tc>
          <w:tcPr>
            <w:tcW w:w="3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23,899</w:t>
            </w:r>
          </w:p>
        </w:tc>
        <w:tc>
          <w:tcPr>
            <w:tcW w:w="22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679</w:t>
            </w:r>
          </w:p>
        </w:tc>
      </w:tr>
      <w:tr>
        <w:trPr>
          <w:trHeight w:val="207"/>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(27,418)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(3,519)</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(23,899)</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r>
      <w:tr>
        <w:trPr>
          <w:trHeight w:val="214"/>
        </w:trPr>
        <w:tc>
          <w:tcPr>
            <w:tcW w:w="3860" w:type="dxa"/>
            <w:vAlign w:val="bottom"/>
          </w:tcPr>
          <w:p>
            <w:pPr>
              <w:spacing w:after="0"/>
              <w:rPr>
                <w:sz w:val="20"/>
                <w:szCs w:val="20"/>
                <w:color w:val="auto"/>
              </w:rPr>
            </w:pPr>
            <w:r>
              <w:rPr>
                <w:rFonts w:ascii="Arial" w:cs="Arial" w:eastAsia="Arial" w:hAnsi="Arial"/>
                <w:sz w:val="18"/>
                <w:szCs w:val="18"/>
                <w:color w:val="auto"/>
              </w:rPr>
              <w:t>Grant income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19,991</w:t>
            </w:r>
          </w:p>
        </w:tc>
      </w:tr>
      <w:tr>
        <w:trPr>
          <w:trHeight w:val="214"/>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(22,840)</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(19,043)</w:t>
            </w:r>
          </w:p>
        </w:tc>
        <w:tc>
          <w:tcPr>
            <w:tcW w:w="112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0"/>
        </w:trPr>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49" w:lineRule="exact"/>
        <w:rPr>
          <w:sz w:val="20"/>
          <w:szCs w:val="20"/>
          <w:color w:val="auto"/>
        </w:rPr>
      </w:pPr>
    </w:p>
    <w:tbl>
      <w:tblPr>
        <w:tblLayout w:type="fixed"/>
        <w:tblInd w:w="56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67"/>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Dollar</w:t>
            </w:r>
          </w:p>
        </w:tc>
        <w:tc>
          <w:tcPr>
            <w:tcW w:w="1340" w:type="dxa"/>
            <w:vAlign w:val="bottom"/>
            <w:gridSpan w:val="2"/>
          </w:tcPr>
          <w:p>
            <w:pPr>
              <w:jc w:val="right"/>
              <w:ind w:right="429"/>
              <w:spacing w:after="0"/>
              <w:rPr>
                <w:sz w:val="20"/>
                <w:szCs w:val="20"/>
                <w:color w:val="auto"/>
              </w:rPr>
            </w:pPr>
            <w:r>
              <w:rPr>
                <w:rFonts w:ascii="Arial" w:cs="Arial" w:eastAsia="Arial" w:hAnsi="Arial"/>
                <w:sz w:val="14"/>
                <w:szCs w:val="14"/>
                <w:b w:val="1"/>
                <w:bCs w:val="1"/>
                <w:color w:val="auto"/>
              </w:rPr>
              <w:t>%</w:t>
            </w:r>
          </w:p>
        </w:tc>
      </w:tr>
      <w:tr>
        <w:trPr>
          <w:trHeight w:val="174"/>
        </w:trPr>
        <w:tc>
          <w:tcPr>
            <w:tcW w:w="4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Change</w:t>
            </w:r>
          </w:p>
        </w:tc>
      </w:tr>
      <w:tr>
        <w:trPr>
          <w:trHeight w:val="167"/>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4"/>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4"/>
        </w:trPr>
        <w:tc>
          <w:tcPr>
            <w:tcW w:w="4420" w:type="dxa"/>
            <w:vAlign w:val="bottom"/>
          </w:tcPr>
          <w:p>
            <w:pPr>
              <w:ind w:left="260"/>
              <w:spacing w:after="0"/>
              <w:rPr>
                <w:sz w:val="20"/>
                <w:szCs w:val="20"/>
                <w:color w:val="auto"/>
              </w:rPr>
            </w:pPr>
            <w:r>
              <w:rPr>
                <w:rFonts w:ascii="Arial" w:cs="Arial" w:eastAsia="Arial" w:hAnsi="Arial"/>
                <w:sz w:val="18"/>
                <w:szCs w:val="18"/>
                <w:color w:val="auto"/>
              </w:rPr>
              <w:t>ATH-1017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16,338</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14,608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844%</w:t>
            </w:r>
          </w:p>
        </w:tc>
      </w:tr>
      <w:tr>
        <w:trPr>
          <w:trHeight w:val="214"/>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Preclinical programs and other direct costs</w:t>
            </w:r>
          </w:p>
        </w:tc>
        <w:tc>
          <w:tcPr>
            <w:tcW w:w="8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4,811</w:t>
            </w:r>
          </w:p>
        </w:tc>
      </w:tr>
      <w:tr>
        <w:trPr>
          <w:trHeight w:val="207"/>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8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15,474</w:t>
            </w:r>
          </w:p>
        </w:tc>
        <w:tc>
          <w:tcPr>
            <w:tcW w:w="13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885</w:t>
            </w:r>
          </w:p>
        </w:tc>
      </w:tr>
      <w:tr>
        <w:trPr>
          <w:trHeight w:val="207"/>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3"/>
        </w:trPr>
        <w:tc>
          <w:tcPr>
            <w:tcW w:w="4420" w:type="dxa"/>
            <w:vAlign w:val="bottom"/>
          </w:tcPr>
          <w:p>
            <w:pPr>
              <w:ind w:left="260"/>
              <w:spacing w:after="0"/>
              <w:rPr>
                <w:sz w:val="20"/>
                <w:szCs w:val="20"/>
                <w:color w:val="auto"/>
              </w:rPr>
            </w:pPr>
            <w:r>
              <w:rPr>
                <w:rFonts w:ascii="Arial" w:cs="Arial" w:eastAsia="Arial" w:hAnsi="Arial"/>
                <w:sz w:val="18"/>
                <w:szCs w:val="18"/>
                <w:color w:val="auto"/>
              </w:rPr>
              <w:t>Personnel-related costs, including stock-</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1"/>
        </w:trPr>
        <w:tc>
          <w:tcPr>
            <w:tcW w:w="4420" w:type="dxa"/>
            <w:vAlign w:val="bottom"/>
          </w:tcPr>
          <w:p>
            <w:pPr>
              <w:ind w:left="400"/>
              <w:spacing w:after="0" w:line="201" w:lineRule="exact"/>
              <w:rPr>
                <w:sz w:val="20"/>
                <w:szCs w:val="20"/>
                <w:color w:val="auto"/>
              </w:rPr>
            </w:pPr>
            <w:r>
              <w:rPr>
                <w:rFonts w:ascii="Arial" w:cs="Arial" w:eastAsia="Arial" w:hAnsi="Arial"/>
                <w:sz w:val="18"/>
                <w:szCs w:val="18"/>
                <w:color w:val="auto"/>
              </w:rPr>
              <w:t>based compensation</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1,966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419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1,547</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369</w:t>
            </w:r>
          </w:p>
        </w:tc>
      </w:tr>
      <w:tr>
        <w:trPr>
          <w:trHeight w:val="214"/>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Facilities and other costs</w:t>
            </w:r>
          </w:p>
        </w:tc>
        <w:tc>
          <w:tcPr>
            <w:tcW w:w="8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w:t>
            </w:r>
          </w:p>
        </w:tc>
      </w:tr>
      <w:tr>
        <w:trPr>
          <w:trHeight w:val="207"/>
        </w:trPr>
        <w:tc>
          <w:tcPr>
            <w:tcW w:w="44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19,469</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758</w:t>
            </w:r>
          </w:p>
        </w:tc>
      </w:tr>
      <w:tr>
        <w:trPr>
          <w:trHeight w:val="20"/>
        </w:trPr>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Research and development expenses increased by $17.2 million, from $2.3 million for the six months ended June 30, 2020 to $19.5 million for the six months ended June 30, 2021. The increase was driven primarily by an increase in expenses for ATH-1017 of $14.6 million related to continued patient enrollment and clinical site visit activity for our Phase 2 clinical trials, start-up activities associated with our open-label extension for our Phase 2 clinical trials, and clinical drug supply manufacturers in support of our Phase 2 clinical trials, and to lesser extents, by increases in personnel-related costs due primarily to increases in preclinical research and development expenses for new product candidates, and an increase in headcount, facilities, and other costs supporting our general growth.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General and administrative expenses increased by $ 6.6 million, from $1.3 million for the six months ended June 30, 2020 to $7.9 million for the six months ended June 30, 2021. The increase was primarily due to an increase in personnel-related costs of $2.9 million, due primarily to an increase in headcount to support our continued growth, an increase in insurance costs of $1.6 million, an increase in legal costs of $0.7 million, an increase in facilities costs of $0.6 million, and to a lesser extent, increases in business development, accounting, technical and consulting services expenses.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7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Grant income increased by $4.4 million, from less than $0.1 million for the six months ended June 30, 2020 to $4.4 million for the six months ended June 30, 2021. The increase was solely driven by our acceptance of the NIH grant, under which we recognized grant income of $4.4 million. Grant income recognized during the six months ended June 30, 2020 under the Part the Cloud grant did not recur in the six months ended June 30, 2021.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7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Other income (expense), net, changed from expense of $0.3 million for the six months ended June 30, 2020 to income of $0.2 million for the six months ended June 30, 2021. Other income for the six months ended June 30, 2021 consisted of interest income on our available for sale securities. Other expense for the six months ended June 30, 2020 consisted of accretion of discounts on convertible notes of $0.3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June 30, 2021, we have raised aggregate net cash proceeds of $407.4 million primarily from the issuance of our common stock, convertible preferred stock, common stock warrants, and convertible notes.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Recent sales of our common stock were as follows.</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2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Net</w:t>
            </w:r>
          </w:p>
        </w:tc>
      </w:tr>
      <w:tr>
        <w:trPr>
          <w:trHeight w:val="174"/>
        </w:trPr>
        <w:tc>
          <w:tcPr>
            <w:tcW w:w="52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97"/>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Proceeds</w:t>
            </w:r>
          </w:p>
        </w:tc>
      </w:tr>
      <w:tr>
        <w:trPr>
          <w:trHeight w:val="174"/>
        </w:trPr>
        <w:tc>
          <w:tcPr>
            <w:tcW w:w="528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Issued</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bottom w:val="single" w:sz="8" w:color="CFF0FC"/>
            </w:tcBorders>
          </w:tcPr>
          <w:p>
            <w:pPr>
              <w:spacing w:after="0"/>
              <w:rPr>
                <w:sz w:val="15"/>
                <w:szCs w:val="15"/>
                <w:color w:val="auto"/>
              </w:rPr>
            </w:pPr>
          </w:p>
        </w:tc>
      </w:tr>
      <w:tr>
        <w:trPr>
          <w:trHeight w:val="20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September 2020 IPO</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12,000,000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80" w:type="dxa"/>
            <w:vAlign w:val="bottom"/>
            <w:shd w:val="clear" w:color="auto" w:fill="CFF0FC"/>
          </w:tcPr>
          <w:p>
            <w:pPr>
              <w:spacing w:after="0"/>
              <w:rPr>
                <w:sz w:val="18"/>
                <w:szCs w:val="18"/>
                <w:color w:val="auto"/>
              </w:rPr>
            </w:pPr>
          </w:p>
        </w:tc>
      </w:tr>
      <w:tr>
        <w:trPr>
          <w:trHeight w:val="214"/>
        </w:trPr>
        <w:tc>
          <w:tcPr>
            <w:tcW w:w="5280" w:type="dxa"/>
            <w:vAlign w:val="bottom"/>
          </w:tcPr>
          <w:p>
            <w:pPr>
              <w:spacing w:after="0"/>
              <w:rPr>
                <w:sz w:val="20"/>
                <w:szCs w:val="20"/>
                <w:color w:val="auto"/>
              </w:rPr>
            </w:pPr>
            <w:r>
              <w:rPr>
                <w:rFonts w:ascii="Arial" w:cs="Arial" w:eastAsia="Arial" w:hAnsi="Arial"/>
                <w:sz w:val="18"/>
                <w:szCs w:val="18"/>
                <w:color w:val="auto"/>
              </w:rPr>
              <w:t>October 2020 overallotment exercise</w:t>
            </w:r>
          </w:p>
        </w:tc>
        <w:tc>
          <w:tcPr>
            <w:tcW w:w="1040" w:type="dxa"/>
            <w:vAlign w:val="bottom"/>
          </w:tcPr>
          <w:p>
            <w:pPr>
              <w:jc w:val="right"/>
              <w:spacing w:after="0"/>
              <w:rPr>
                <w:sz w:val="20"/>
                <w:szCs w:val="20"/>
                <w:color w:val="auto"/>
              </w:rPr>
            </w:pPr>
            <w:r>
              <w:rPr>
                <w:rFonts w:ascii="Arial" w:cs="Arial" w:eastAsia="Arial" w:hAnsi="Arial"/>
                <w:sz w:val="18"/>
                <w:szCs w:val="18"/>
                <w:color w:val="auto"/>
              </w:rPr>
              <w:t>1,397,712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r>
      <w:tr>
        <w:trPr>
          <w:trHeight w:val="214"/>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January 2021 follow-on public offering</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FF0FC"/>
          </w:tcPr>
          <w:p>
            <w:pPr>
              <w:spacing w:after="0"/>
              <w:rPr>
                <w:sz w:val="18"/>
                <w:szCs w:val="18"/>
                <w:color w:val="auto"/>
              </w:rPr>
            </w:pPr>
          </w:p>
        </w:tc>
      </w:tr>
      <w:tr>
        <w:trPr>
          <w:trHeight w:val="214"/>
        </w:trPr>
        <w:tc>
          <w:tcPr>
            <w:tcW w:w="5280" w:type="dxa"/>
            <w:vAlign w:val="bottom"/>
          </w:tcPr>
          <w:p>
            <w:pPr>
              <w:spacing w:after="0"/>
              <w:rPr>
                <w:sz w:val="20"/>
                <w:szCs w:val="20"/>
                <w:color w:val="auto"/>
              </w:rPr>
            </w:pPr>
            <w:r>
              <w:rPr>
                <w:rFonts w:ascii="Arial" w:cs="Arial" w:eastAsia="Arial" w:hAnsi="Arial"/>
                <w:sz w:val="18"/>
                <w:szCs w:val="18"/>
                <w:color w:val="auto"/>
              </w:rPr>
              <w:t>February 2021 overallotment exercise</w:t>
            </w: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7"/>
        </w:trPr>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17,997,712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8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9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As of June 30, 2021, we had $349.9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7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Based upon our current operating plan, we estimate that our $349.9 million of cash, cash equivalents, and investments at June 30, 2021 will be sufficient to fund our operating expenses and capital expenditure requirements through at least the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2" w:name="page33"/>
    <w:bookmarkEnd w:id="32"/>
    <w:p>
      <w:pPr>
        <w:jc w:val="both"/>
        <w:spacing w:after="0" w:line="233" w:lineRule="auto"/>
        <w:rPr>
          <w:sz w:val="20"/>
          <w:szCs w:val="20"/>
          <w:color w:val="auto"/>
        </w:rPr>
      </w:pPr>
      <w:r>
        <w:rPr>
          <w:rFonts w:ascii="Arial" w:cs="Arial" w:eastAsia="Arial" w:hAnsi="Arial"/>
          <w:sz w:val="18"/>
          <w:szCs w:val="18"/>
          <w:color w:val="auto"/>
        </w:rPr>
        <w:t>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23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95" w:lineRule="exact"/>
        <w:rPr>
          <w:sz w:val="20"/>
          <w:szCs w:val="20"/>
          <w:color w:val="auto"/>
        </w:rPr>
      </w:pPr>
    </w:p>
    <w:p>
      <w:pPr>
        <w:ind w:left="1020" w:hanging="50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3" w:lineRule="exact"/>
        <w:rPr>
          <w:rFonts w:ascii="Arial" w:cs="Arial" w:eastAsia="Arial" w:hAnsi="Arial"/>
          <w:sz w:val="18"/>
          <w:szCs w:val="18"/>
          <w:color w:val="auto"/>
        </w:rPr>
      </w:pPr>
    </w:p>
    <w:p>
      <w:pPr>
        <w:ind w:left="1020" w:right="20" w:hanging="505"/>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related to ongoing legal proceedings;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expenses needed to attract, hire and retain skilled personnel;</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expanding our laboratory and office facilities;;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6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9"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r>
      <w:tr>
        <w:trPr>
          <w:trHeight w:val="167"/>
        </w:trPr>
        <w:tc>
          <w:tcPr>
            <w:tcW w:w="3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r>
      <w:tr>
        <w:trPr>
          <w:trHeight w:val="167"/>
        </w:trPr>
        <w:tc>
          <w:tcPr>
            <w:tcW w:w="3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4"/>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39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(14,622)</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(4,037)</w:t>
            </w:r>
          </w:p>
        </w:tc>
      </w:tr>
      <w:tr>
        <w:trPr>
          <w:trHeight w:val="214"/>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(11,253)</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8"/>
                <w:szCs w:val="18"/>
                <w:color w:val="auto"/>
              </w:rPr>
            </w:pPr>
          </w:p>
        </w:tc>
      </w:tr>
      <w:tr>
        <w:trPr>
          <w:trHeight w:val="214"/>
        </w:trPr>
        <w:tc>
          <w:tcPr>
            <w:tcW w:w="3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4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96,951</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87,144</w:t>
            </w:r>
          </w:p>
        </w:tc>
        <w:tc>
          <w:tcPr>
            <w:tcW w:w="80" w:type="dxa"/>
            <w:vAlign w:val="bottom"/>
            <w:tcBorders>
              <w:bottom w:val="single" w:sz="8" w:color="CFF0FC"/>
            </w:tcBorders>
          </w:tcPr>
          <w:p>
            <w:pPr>
              <w:spacing w:after="0"/>
              <w:rPr>
                <w:sz w:val="18"/>
                <w:szCs w:val="18"/>
                <w:color w:val="auto"/>
              </w:rPr>
            </w:pPr>
          </w:p>
        </w:tc>
      </w:tr>
      <w:tr>
        <w:trPr>
          <w:trHeight w:val="20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w:t>
            </w: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3900" w:type="dxa"/>
            <w:vAlign w:val="bottom"/>
            <w:shd w:val="clear" w:color="auto" w:fill="CFF0FC"/>
          </w:tcPr>
          <w:p>
            <w:pPr>
              <w:ind w:left="140"/>
              <w:spacing w:after="0" w:line="201" w:lineRule="exact"/>
              <w:rPr>
                <w:sz w:val="20"/>
                <w:szCs w:val="20"/>
                <w:color w:val="auto"/>
              </w:rPr>
            </w:pPr>
            <w:r>
              <w:rPr>
                <w:rFonts w:ascii="Arial" w:cs="Arial" w:eastAsia="Arial" w:hAnsi="Arial"/>
                <w:sz w:val="18"/>
                <w:szCs w:val="18"/>
                <w:color w:val="auto"/>
              </w:rPr>
              <w:t>equivalents</w:t>
            </w:r>
          </w:p>
        </w:tc>
        <w:tc>
          <w:tcPr>
            <w:tcW w:w="1620" w:type="dxa"/>
            <w:vAlign w:val="bottom"/>
            <w:gridSpan w:val="2"/>
            <w:shd w:val="clear" w:color="auto" w:fill="CFF0FC"/>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71,076</w:t>
            </w: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83,110</w:t>
            </w:r>
          </w:p>
        </w:tc>
        <w:tc>
          <w:tcPr>
            <w:tcW w:w="80" w:type="dxa"/>
            <w:vAlign w:val="bottom"/>
            <w:shd w:val="clear" w:color="auto" w:fill="CFF0FC"/>
          </w:tcPr>
          <w:p>
            <w:pPr>
              <w:spacing w:after="0"/>
              <w:rPr>
                <w:sz w:val="17"/>
                <w:szCs w:val="17"/>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During the six months ended June 30, 2021, net cash used in operating activities was $14.6 million. This consisted primarily of a net loss of $22.8 million, partially offset by non-cash charges of $2.5 million and a decrease in our net operating assets of $5.7 million. The non-cash charges primarily consisted of stock-based compensation expense, depreciation expense, and accretion of discounts on our convertible notes. The decrease in our net operating assets was due to a decrease in prepaid expenses and other current assets and an increase in accounts payable and accrued expenses, partially offset by an increase in unbilled grant receivable.</w:t>
      </w:r>
    </w:p>
    <w:p>
      <w:pPr>
        <w:spacing w:after="0" w:line="244"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During the six months ended June 30, 2020, net cash used in operating activities was $4.0 million. This consisted primarily of a net loss of $3.8 million, partially offset by non-cash charges of $0.4 million and an increase in our net operating assets of $0.6 million. The non-cash charges primarily consisted of stock-based compensation expense, non-cash interest expense and accretion of discounts on our convertible notes, changes in the carrying value of liabilities stated at fair value, and the gain on extinguishment of our convertible notes. The increase in our net operating assets was due to an increase in prepaid expenses and other current assets, partially offset by an increase in accounts payable and accrued expenses.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6"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During the six months ended June 30, 2021, net cash used in investing was $11.3 million. This consisted of purchases of available-for-sale securities, partially offset by maturities and proceeds from sales of available-for-sale securities.</w:t>
      </w:r>
    </w:p>
    <w:p>
      <w:pPr>
        <w:spacing w:after="0" w:line="243" w:lineRule="exact"/>
        <w:rPr>
          <w:sz w:val="20"/>
          <w:szCs w:val="20"/>
          <w:color w:val="auto"/>
        </w:rPr>
      </w:pPr>
    </w:p>
    <w:p>
      <w:pPr>
        <w:jc w:val="both"/>
        <w:ind w:right="20" w:firstLine="510"/>
        <w:spacing w:after="0" w:line="239" w:lineRule="auto"/>
        <w:rPr>
          <w:sz w:val="20"/>
          <w:szCs w:val="20"/>
          <w:color w:val="auto"/>
        </w:rPr>
      </w:pPr>
      <w:r>
        <w:rPr>
          <w:rFonts w:ascii="Arial" w:cs="Arial" w:eastAsia="Arial" w:hAnsi="Arial"/>
          <w:sz w:val="18"/>
          <w:szCs w:val="18"/>
          <w:color w:val="auto"/>
        </w:rPr>
        <w:t>During the six months ended June 30, 2020, net cash provided by investing activities was $3,000. This consisted of principal repayments received on the unsecured related party note receivable.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6"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During the six months ended June 30, 2021, net cash provided by financing activities was $97.0 million, primarily driven by proceeds received from our follow-on public offering, and to a lesser extent from exercises of stock options.</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During the six months ended June 30, 2020, net cash provided by financing activities was $87.1 million. This consisted primarily of net proceeds received from the issuance of our Series B convertible preferred stock and common stock warrants of $85.4 million, $1.7 million from the issuance of our convertible notes, and to a lesser extent from exercise of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6" w:lineRule="exact"/>
        <w:rPr>
          <w:sz w:val="20"/>
          <w:szCs w:val="20"/>
          <w:color w:val="auto"/>
        </w:rPr>
      </w:pPr>
    </w:p>
    <w:p>
      <w:pPr>
        <w:jc w:val="both"/>
        <w:ind w:right="20" w:firstLine="510"/>
        <w:spacing w:after="0" w:line="239"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303(d)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56"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4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p>
    <w:p>
      <w:pPr>
        <w:spacing w:after="0" w:line="24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During the six months ended June 30, 2021,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March 25, 2021 and Note 2 to our unaudited condensed consolidated financial statements included in “Part I, Item 1—Financial Statements (Unaudited)” of this Quarterly Report on Form 10-Q. We believe that of our critical accounting policies, the following accounting policies involve the most judgment and complexity:</w:t>
      </w:r>
    </w:p>
    <w:p>
      <w:pPr>
        <w:spacing w:after="0" w:line="95" w:lineRule="exact"/>
        <w:rPr>
          <w:sz w:val="20"/>
          <w:szCs w:val="20"/>
          <w:color w:val="auto"/>
        </w:rPr>
      </w:pPr>
    </w:p>
    <w:p>
      <w:pPr>
        <w:ind w:left="1020" w:hanging="505"/>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0"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See Note 2 to our unaudited interim condensed consolidated financial statements included elsewhere in this Quarterly Report on Form 10-Q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5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w:t>
      </w:r>
    </w:p>
    <w:p>
      <w:pPr>
        <w:spacing w:after="0" w:line="1" w:lineRule="exact"/>
        <w:rPr>
          <w:sz w:val="20"/>
          <w:szCs w:val="20"/>
          <w:color w:val="auto"/>
        </w:rPr>
      </w:pPr>
    </w:p>
    <w:p>
      <w:pPr>
        <w:ind w:firstLine="7"/>
        <w:spacing w:after="0" w:line="239" w:lineRule="auto"/>
        <w:tabs>
          <w:tab w:leader="none" w:pos="2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305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6"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5" w:name="page36"/>
    <w:bookmarkEnd w:id="35"/>
    <w:p>
      <w:pPr>
        <w:jc w:val="both"/>
        <w:ind w:right="20"/>
        <w:spacing w:after="0" w:line="239" w:lineRule="auto"/>
        <w:rPr>
          <w:sz w:val="20"/>
          <w:szCs w:val="20"/>
          <w:color w:val="auto"/>
        </w:rPr>
      </w:pPr>
      <w:r>
        <w:rPr>
          <w:rFonts w:ascii="Arial" w:cs="Arial" w:eastAsia="Arial" w:hAnsi="Arial"/>
          <w:sz w:val="18"/>
          <w:szCs w:val="18"/>
          <w:color w:val="auto"/>
        </w:rPr>
        <w:t>necessarily applies its judgment in evaluating the cost-benefit relationship of possible controls and procedures. Our disclosure controls and procedures are designed to provide reasonable assurance of achieving their control objectives.</w:t>
      </w:r>
    </w:p>
    <w:p>
      <w:pPr>
        <w:spacing w:after="0" w:line="23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management, with the participation of our principal executive officer and principal financial and accounting officer, evaluated the effectiveness of our disclosure controls and procedures at the end of the period covered by this Quarterly Report. Based upon such evaluation, our principal executive officer and principal financial and accounting officer have concluded that our disclosure controls and procedures were effective at the reasonable assurance level as of such date.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0"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June 30, 2021, that have materially affected, or are reasonably likely to materially affect, our internal control over financial reporting.</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0"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From time to time, we are subject to various legal proceedings or claims that arise in the ordinary course of business. The following is a brief description of the more significant legal proceedings.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Class Actions</w:t>
      </w:r>
    </w:p>
    <w:p>
      <w:pPr>
        <w:spacing w:after="0" w:line="27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us and our Chief Executive Officer, Dr. Leen Kawas, captioned </w:t>
      </w:r>
      <w:r>
        <w:rPr>
          <w:rFonts w:ascii="Arial" w:cs="Arial" w:eastAsia="Arial" w:hAnsi="Arial"/>
          <w:sz w:val="18"/>
          <w:szCs w:val="18"/>
          <w:i w:val="1"/>
          <w:iCs w:val="1"/>
          <w:color w:val="auto"/>
        </w:rPr>
        <w:t>Wang v. Athira Pharma, Inc., et al.</w:t>
      </w:r>
      <w:r>
        <w:rPr>
          <w:rFonts w:ascii="Arial" w:cs="Arial" w:eastAsia="Arial" w:hAnsi="Arial"/>
          <w:sz w:val="18"/>
          <w:szCs w:val="18"/>
          <w:color w:val="auto"/>
        </w:rPr>
        <w:t xml:space="preserve">, No. 2:21-cv-00861. Plaintiffs Wang and Gao assert claims under Sections 10(b) and 20(a) of the Securities Exchange Act of 1934 and SEC Rule 10b-5, alleging that the defendants made materially false and misleading statements and omitted material adverse facts regarding our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we failed to disclose to investors that certain research conducted by Dr. Kawas was allegedly tainted by scientific misconduct during her doctoral work at Washington State University, including the manipulation of data, and that as a result, the defendants’ positive statements about our business, operations, and prospects were materially misleading.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seek unspecified compensatory and punitive damages, and reasonable costs and expenses, including attorneys’ fees.</w:t>
      </w:r>
    </w:p>
    <w:p>
      <w:pPr>
        <w:spacing w:after="0" w:line="24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us, Dr. Kawas, the Company’s Chief Financial Officer, certain members of our board of directors at the time of our IPO, as well as the IPO underwriters, captioned </w:t>
      </w:r>
      <w:r>
        <w:rPr>
          <w:rFonts w:ascii="Arial" w:cs="Arial" w:eastAsia="Arial" w:hAnsi="Arial"/>
          <w:sz w:val="18"/>
          <w:szCs w:val="18"/>
          <w:i w:val="1"/>
          <w:iCs w:val="1"/>
          <w:color w:val="auto"/>
        </w:rPr>
        <w:t>Jawandha v. Athira Pharma, Inc., et al.</w:t>
      </w:r>
      <w:r>
        <w:rPr>
          <w:rFonts w:ascii="Arial" w:cs="Arial" w:eastAsia="Arial" w:hAnsi="Arial"/>
          <w:sz w:val="18"/>
          <w:szCs w:val="18"/>
          <w:color w:val="auto"/>
        </w:rPr>
        <w:t xml:space="preserve">, No. 2:21-cv-00862.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asserts violations of Sections 11 and 15 of the Securities Act of 1933, alleging that that our IPO registration statement was materially false and misleading because it omitted to state that certain of Dr. Kawas’s published doctoral research papers at Washington State University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plaintiff seeks unspecified compensatory damages, and reasonable costs and expenses, including attorneys’ fees.</w:t>
      </w:r>
    </w:p>
    <w:p>
      <w:pPr>
        <w:spacing w:after="0" w:line="231"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us, Dr. Kawas, our Chief Financial Officer, and the same members of our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of 1933, alleging that purported issues with Dr. Kawas’s doctoral research at Washington State University should have been disclosed in our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22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 xml:space="preserve">On August 9, 2021, the Honorable Judge Thomas S. Zilly, the district judge presiding over </w:t>
      </w:r>
      <w:r>
        <w:rPr>
          <w:rFonts w:ascii="Arial" w:cs="Arial" w:eastAsia="Arial" w:hAnsi="Arial"/>
          <w:sz w:val="18"/>
          <w:szCs w:val="18"/>
          <w:i w:val="1"/>
          <w:iCs w:val="1"/>
          <w:color w:val="auto"/>
        </w:rPr>
        <w:t>Wang v. Athira Pharma, Inc., et al.</w:t>
      </w:r>
      <w:r>
        <w:rPr>
          <w:rFonts w:ascii="Arial" w:cs="Arial" w:eastAsia="Arial" w:hAnsi="Arial"/>
          <w:sz w:val="18"/>
          <w:szCs w:val="18"/>
          <w:color w:val="auto"/>
        </w:rPr>
        <w:t>, No. 2:21-cv-00861, issued an order consolidating the three cases under that case number and postponing a response from defendants until after the appointment of a lead plaintiff and the submission or designation of a consolidated complaint.</w:t>
      </w:r>
    </w:p>
    <w:p>
      <w:pPr>
        <w:spacing w:after="0" w:line="237"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An independent special committee of our board of directors is conducting a review of papers co-authored by Dr. Kawas in connection with her doctoral research at Washington State University, among other things.</w:t>
      </w:r>
    </w:p>
    <w:p>
      <w:pPr>
        <w:spacing w:after="0" w:line="230"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We cannot predict the outcome of these suits. Failure by us to obtain a favorable resolution of these suits could have a material adverse effect on our business, results of operations and financial condition.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1A. Risk Factors.</w:t>
      </w:r>
    </w:p>
    <w:p>
      <w:pPr>
        <w:spacing w:after="0" w:line="23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7"/>
          <w:szCs w:val="17"/>
          <w:color w:val="231F20"/>
        </w:rPr>
        <w:t xml:space="preserve">You should carefully consider the </w:t>
      </w:r>
      <w:r>
        <w:rPr>
          <w:rFonts w:ascii="Arial" w:cs="Arial" w:eastAsia="Arial" w:hAnsi="Arial"/>
          <w:sz w:val="17"/>
          <w:szCs w:val="17"/>
          <w:i w:val="1"/>
          <w:iCs w:val="1"/>
          <w:color w:val="231F20"/>
        </w:rPr>
        <w:t>following risk factors, in addition to</w:t>
      </w:r>
      <w:r>
        <w:rPr>
          <w:rFonts w:ascii="Arial" w:cs="Arial" w:eastAsia="Arial" w:hAnsi="Arial"/>
          <w:sz w:val="17"/>
          <w:szCs w:val="17"/>
          <w:color w:val="231F20"/>
        </w:rPr>
        <w:t xml:space="preserve"> the other information </w:t>
      </w:r>
      <w:r>
        <w:rPr>
          <w:rFonts w:ascii="Arial" w:cs="Arial" w:eastAsia="Arial" w:hAnsi="Arial"/>
          <w:sz w:val="17"/>
          <w:szCs w:val="17"/>
          <w:i w:val="1"/>
          <w:iCs w:val="1"/>
          <w:color w:val="231F20"/>
        </w:rPr>
        <w:t>contained in this Quarterly Report on Form</w:t>
      </w:r>
      <w:r>
        <w:rPr>
          <w:rFonts w:ascii="Arial" w:cs="Arial" w:eastAsia="Arial" w:hAnsi="Arial"/>
          <w:sz w:val="17"/>
          <w:szCs w:val="17"/>
          <w:color w:val="231F20"/>
        </w:rPr>
        <w:t xml:space="preserve"> </w:t>
      </w:r>
      <w:r>
        <w:rPr>
          <w:rFonts w:ascii="Arial" w:cs="Arial" w:eastAsia="Arial" w:hAnsi="Arial"/>
          <w:sz w:val="17"/>
          <w:szCs w:val="17"/>
          <w:i w:val="1"/>
          <w:iCs w:val="1"/>
          <w:color w:val="231F20"/>
        </w:rPr>
        <w:t>10-Q, or Quarterly Report</w:t>
      </w:r>
      <w:r>
        <w:rPr>
          <w:rFonts w:ascii="Arial" w:cs="Arial" w:eastAsia="Arial" w:hAnsi="Arial"/>
          <w:sz w:val="17"/>
          <w:szCs w:val="17"/>
          <w:color w:val="231F20"/>
        </w:rPr>
        <w:t>, including the “Management’s Discussion and Analysis of Financial Condition and Results of Operations” section</w:t>
      </w:r>
      <w:r>
        <w:rPr>
          <w:rFonts w:ascii="Arial" w:cs="Arial" w:eastAsia="Arial" w:hAnsi="Arial"/>
          <w:sz w:val="17"/>
          <w:szCs w:val="17"/>
          <w:i w:val="1"/>
          <w:iCs w:val="1"/>
          <w:color w:val="231F20"/>
        </w:rPr>
        <w:t xml:space="preserve">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Quarterly Report also contains forward-looking statements that involve risks and uncertainties. Our actual results could differ materially from those anticipated in the forward-looking statements as a result of factors that are described below and elsewhere in this Quarterly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27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43"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ability to generate revenue and achieve profitability depends significantly on our ability to achieve a number of objectives.</w:t>
      </w:r>
    </w:p>
    <w:p>
      <w:pPr>
        <w:spacing w:after="0" w:line="281"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97" w:lineRule="exact"/>
        <w:rPr>
          <w:sz w:val="20"/>
          <w:szCs w:val="20"/>
          <w:color w:val="auto"/>
        </w:rPr>
      </w:pPr>
    </w:p>
    <w:p>
      <w:pPr>
        <w:jc w:val="both"/>
        <w:ind w:left="1020" w:hanging="505"/>
        <w:spacing w:after="0" w:line="23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 unforeseen costs we may incur as a result of nonclinical study or clinical trial delays due to COVID-19 or other causes;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8" w:name="page39"/>
    <w:bookmarkEnd w:id="38"/>
    <w:p>
      <w:pPr>
        <w:ind w:left="1020" w:hanging="505"/>
        <w:spacing w:after="0" w:line="23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95"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95" w:lineRule="exact"/>
        <w:rPr>
          <w:rFonts w:ascii="Arial" w:cs="Arial" w:eastAsia="Arial" w:hAnsi="Arial"/>
          <w:sz w:val="18"/>
          <w:szCs w:val="18"/>
          <w:color w:val="auto"/>
        </w:rPr>
      </w:pPr>
    </w:p>
    <w:p>
      <w:pPr>
        <w:ind w:left="1020" w:right="20" w:hanging="505"/>
        <w:spacing w:after="0" w:line="23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13" w:lineRule="exact"/>
        <w:rPr>
          <w:rFonts w:ascii="Arial" w:cs="Arial" w:eastAsia="Arial" w:hAnsi="Arial"/>
          <w:sz w:val="18"/>
          <w:szCs w:val="18"/>
          <w:color w:val="auto"/>
        </w:rPr>
      </w:pPr>
    </w:p>
    <w:p>
      <w:pPr>
        <w:ind w:left="1020" w:right="20" w:hanging="505"/>
        <w:spacing w:after="0" w:line="23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6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29"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24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development of ATH-1017 may never lead to a marketable product.</w:t>
      </w:r>
    </w:p>
    <w:p>
      <w:pPr>
        <w:spacing w:after="0" w:line="256"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We are developing ATH-1017 as a small molecule aimed at restoring neuronal health. We have not received regulatory approval for ATH-1017 and cannot be certain that our approach will lead to the development of an approvable or marketable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39" w:name="page40"/>
    <w:bookmarkEnd w:id="39"/>
    <w:p>
      <w:pPr>
        <w:ind w:right="20"/>
        <w:spacing w:after="0" w:line="239" w:lineRule="auto"/>
        <w:rPr>
          <w:sz w:val="20"/>
          <w:szCs w:val="20"/>
          <w:color w:val="auto"/>
        </w:rPr>
      </w:pPr>
      <w:r>
        <w:rPr>
          <w:rFonts w:ascii="Arial" w:cs="Arial" w:eastAsia="Arial" w:hAnsi="Arial"/>
          <w:sz w:val="18"/>
          <w:szCs w:val="18"/>
          <w:color w:val="auto"/>
        </w:rPr>
        <w:t>product, alone or in combination with other therapies. We may not succeed in demonstrating safety and efficacy of ATH-1017 in our LIFT-AD trial or in other clinical trials.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Advancing ATH-1017 as a small molecule aimed at restoring neuronal health creates significant challenges for us, including:</w:t>
      </w:r>
    </w:p>
    <w:p>
      <w:pPr>
        <w:spacing w:after="0" w:line="101" w:lineRule="exact"/>
        <w:rPr>
          <w:sz w:val="20"/>
          <w:szCs w:val="20"/>
          <w:color w:val="auto"/>
        </w:rPr>
      </w:pPr>
    </w:p>
    <w:p>
      <w:pPr>
        <w:ind w:left="1020" w:hanging="505"/>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marketing approval;</w:t>
      </w:r>
    </w:p>
    <w:p>
      <w:pPr>
        <w:spacing w:after="0" w:line="113"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39" w:lineRule="exact"/>
        <w:rPr>
          <w:sz w:val="20"/>
          <w:szCs w:val="20"/>
          <w:color w:val="auto"/>
        </w:rPr>
      </w:pPr>
    </w:p>
    <w:p>
      <w:pPr>
        <w:jc w:val="both"/>
        <w:ind w:firstLine="510"/>
        <w:spacing w:after="0"/>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1a/1b clinical trial,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24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ATH-1017, which is under development to treat Alzheimer’s disease, or AD, and Parkinson’s disease dementia, or PDD.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231"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1a/b clinical trial, which enrolled 88 subjects, including only 11 patients with mild to moderate AD, of whom seven patients were treated with ATH-1017 and the other four patients were randomized to the control. Data from our Phase 1a/1b clinical trial, while promising, were obtained from a relatively small number of subjects and a single clinical site and we cannot be certain that future trials involving a larger number of subjects and clinical sites will yield similar data. Additionally, in our Phase 1a/1b clinical trial, we used 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1a/1b clinical trial,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this trial,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227" w:lineRule="exact"/>
        <w:rPr>
          <w:sz w:val="20"/>
          <w:szCs w:val="20"/>
          <w:color w:val="auto"/>
        </w:rPr>
      </w:pPr>
    </w:p>
    <w:p>
      <w:pPr>
        <w:jc w:val="both"/>
        <w:ind w:right="20" w:firstLine="510"/>
        <w:spacing w:after="0" w:line="265"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22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have focused our research and development efforts on addressing central nervous system, or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0" w:name="page41"/>
    <w:bookmarkEnd w:id="40"/>
    <w:p>
      <w:pPr>
        <w:jc w:val="both"/>
        <w:spacing w:after="0" w:line="239" w:lineRule="auto"/>
        <w:rPr>
          <w:sz w:val="20"/>
          <w:szCs w:val="20"/>
          <w:color w:val="auto"/>
        </w:rPr>
      </w:pPr>
      <w:r>
        <w:rPr>
          <w:rFonts w:ascii="Arial" w:cs="Arial" w:eastAsia="Arial" w:hAnsi="Arial"/>
          <w:sz w:val="18"/>
          <w:szCs w:val="18"/>
          <w:color w:val="auto"/>
        </w:rPr>
        <w:t>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08" w:lineRule="exact"/>
        <w:rPr>
          <w:sz w:val="20"/>
          <w:szCs w:val="20"/>
          <w:color w:val="auto"/>
        </w:rPr>
      </w:pPr>
    </w:p>
    <w:p>
      <w:pPr>
        <w:jc w:val="both"/>
        <w:ind w:right="20" w:firstLine="510"/>
        <w:spacing w:after="0" w:line="265" w:lineRule="auto"/>
        <w:rPr>
          <w:sz w:val="20"/>
          <w:szCs w:val="20"/>
          <w:color w:val="auto"/>
        </w:rPr>
      </w:pPr>
      <w:r>
        <w:rPr>
          <w:rFonts w:ascii="Arial" w:cs="Arial" w:eastAsia="Arial" w:hAnsi="Arial"/>
          <w:sz w:val="18"/>
          <w:szCs w:val="18"/>
          <w:b w:val="1"/>
          <w:bCs w:val="1"/>
          <w:i w:val="1"/>
          <w:iCs w:val="1"/>
          <w:color w:val="auto"/>
        </w:rPr>
        <w:t>An independent special committee of our board of directors is currently engaged in a review of papers co-authored by our chief executive officer in connection with her doctoral research at Washington State University.</w:t>
      </w:r>
    </w:p>
    <w:p>
      <w:pPr>
        <w:spacing w:after="0" w:line="22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7"/>
          <w:szCs w:val="17"/>
          <w:color w:val="auto"/>
        </w:rPr>
        <w:t>An independent special committee of our board of directors is currently engaged in a review of papers co-authored by our chief executive officer, Dr. Leen Kawas, in connection with her doctoral research at Washington State University, among other things, including an investigation of allegations that Dr. Kawas manipulated images used in research published by Dr. Kawas in connection with her Ph.D. studies.</w:t>
      </w:r>
    </w:p>
    <w:p>
      <w:pPr>
        <w:spacing w:after="0" w:line="228" w:lineRule="exact"/>
        <w:rPr>
          <w:sz w:val="20"/>
          <w:szCs w:val="20"/>
          <w:color w:val="auto"/>
        </w:rPr>
      </w:pPr>
    </w:p>
    <w:p>
      <w:pPr>
        <w:jc w:val="both"/>
        <w:ind w:firstLine="510"/>
        <w:spacing w:after="0" w:line="232" w:lineRule="auto"/>
        <w:rPr>
          <w:sz w:val="20"/>
          <w:szCs w:val="20"/>
          <w:color w:val="auto"/>
        </w:rPr>
      </w:pPr>
      <w:r>
        <w:rPr>
          <w:rFonts w:ascii="Arial" w:cs="Arial" w:eastAsia="Arial" w:hAnsi="Arial"/>
          <w:sz w:val="18"/>
          <w:szCs w:val="18"/>
          <w:color w:val="auto"/>
        </w:rPr>
        <w:t>While the independent special committee’s investigation is ongoing and the outcome remains unknown, a finding of misconduct on the part of Dr. Kawas, or any other person associated with us, whether or not such misconduct is related to any of our current product candidates or ongoing clinical research, could have a material adverse effect on our reputation, our current patents, licenses and grants and pending patent applications and grants, and could lead to further investigation from government agencies, including the FDA, any of which could have a material adverse impact on our business and prospects.</w:t>
      </w:r>
    </w:p>
    <w:p>
      <w:pPr>
        <w:spacing w:after="0" w:line="3"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As disclosed elsewhere in this report, including in this “Risk Factors” section under the heading “</w:t>
      </w:r>
      <w:r>
        <w:rPr>
          <w:rFonts w:ascii="Arial" w:cs="Arial" w:eastAsia="Arial" w:hAnsi="Arial"/>
          <w:sz w:val="18"/>
          <w:szCs w:val="18"/>
          <w:i w:val="1"/>
          <w:iCs w:val="1"/>
          <w:color w:val="auto"/>
        </w:rPr>
        <w:t>—We and certain of our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have been named as defendants in lawsuits that could result in substantial costs and divert management’s attention</w:t>
      </w:r>
      <w:r>
        <w:rPr>
          <w:rFonts w:ascii="Arial" w:cs="Arial" w:eastAsia="Arial" w:hAnsi="Arial"/>
          <w:sz w:val="18"/>
          <w:szCs w:val="18"/>
          <w:color w:val="auto"/>
        </w:rPr>
        <w:t>,” and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II, Item 1—Legal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relationships with current and future investors, government regulators,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spacing w:after="0" w:line="214"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Washington State University has undertaken a review of claims of potential research misconduct involving our chief executive officer’s doctoral research at Washington State University.</w:t>
      </w:r>
    </w:p>
    <w:p>
      <w:pPr>
        <w:spacing w:after="0" w:line="22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In addition to the investigation of the independent special committee of our board of directors noted above, Washington State University, or WSU, has also announced that it has undertaken a review of claims of potential research misconduct involving research conducted by Dr. Kawas during her doctoral studies at WSU. This review is ongoing, and at this time we cannot predict the outcome of the investigation, including whether any misconduct will be discovered or proven or what effect the investigation will ultimately have on our business and reputation. We are also unable to predict with any certainty when WSU’s investigation will be completed. It is possible that the ongoing investigation by WSU will come to different conclusions, or uncover new or different information, than the ongoing investigation of the independent special committee of our board of directors. If misconduct is discovered, it could have a material adverse impact on our business, reputation, and prospects, as well as our current and pending patents and patent applications, current and pending grants and grant applications, and our relationship with WSU, from whom we in-license patents underlying certain of our product candidates.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1" w:name="page42"/>
    <w:bookmarkEnd w:id="41"/>
    <w:p>
      <w:pPr>
        <w:jc w:val="both"/>
        <w:ind w:firstLine="510"/>
        <w:spacing w:after="0" w:line="243"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227"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Our lead product candidate, ATH-1017, is in clinical development for the potential treatment of AD and PDD. Our additional product candidates, including ATH-1018 and ATH-1020, are in nonclinical development. It is impossible to predict when or if any of our product candidates will prove to be effective and safe in humans or will receive regulatory approval.</w:t>
      </w:r>
    </w:p>
    <w:p>
      <w:pPr>
        <w:spacing w:after="0" w:line="243" w:lineRule="exact"/>
        <w:rPr>
          <w:sz w:val="20"/>
          <w:szCs w:val="20"/>
          <w:color w:val="auto"/>
        </w:rPr>
      </w:pPr>
    </w:p>
    <w:p>
      <w:pPr>
        <w:jc w:val="both"/>
        <w:ind w:firstLine="510"/>
        <w:spacing w:after="0" w:line="202" w:lineRule="exact"/>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studies and clinical trials with a single or few clinical trial sites may not be predictive of eventual safety or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In November 2020, we initiated ACT-AD, a P300 Phase 2 clinical trial, to better understand the overall effects of ATH-1017 on working memory processing speed and cognitive measures, with topline results expected in the first half of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w:t>
      </w:r>
      <w:r>
        <w:rPr>
          <w:rFonts w:ascii="MS PGothic" w:cs="MS PGothic" w:eastAsia="MS PGothic" w:hAnsi="MS PGothic"/>
          <w:sz w:val="17"/>
          <w:szCs w:val="17"/>
          <w:color w:val="auto"/>
        </w:rPr>
        <w:t>‑</w:t>
      </w:r>
      <w:r>
        <w:rPr>
          <w:rFonts w:ascii="Arial" w:cs="Arial" w:eastAsia="Arial" w:hAnsi="Arial"/>
          <w:sz w:val="17"/>
          <w:szCs w:val="17"/>
          <w:color w:val="auto"/>
        </w:rPr>
        <w:t>AD and LIFT-AD trials,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00" w:lineRule="exact"/>
        <w:rPr>
          <w:sz w:val="20"/>
          <w:szCs w:val="20"/>
          <w:color w:val="auto"/>
        </w:rPr>
      </w:pPr>
    </w:p>
    <w:p>
      <w:pPr>
        <w:spacing w:after="0" w:line="242"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231"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On July 6, 2021, we announced the initiation of open-label extensions for the LIFT-AD and ACT-AD trials. Following completion of the 26-week treatment period during the LIFT-AD or ACT-AD trials, patients may elect to continue on the open-label extension and receive treatment with ATH-1017 for up to an additional 26 weeks. Investigators and patients will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42" w:name="page43"/>
    <w:bookmarkEnd w:id="42"/>
    <w:p>
      <w:pPr>
        <w:jc w:val="both"/>
        <w:spacing w:after="0" w:line="236" w:lineRule="auto"/>
        <w:rPr>
          <w:sz w:val="20"/>
          <w:szCs w:val="20"/>
          <w:color w:val="auto"/>
        </w:rPr>
      </w:pPr>
      <w:r>
        <w:rPr>
          <w:rFonts w:ascii="Arial" w:cs="Arial" w:eastAsia="Arial" w:hAnsi="Arial"/>
          <w:sz w:val="18"/>
          <w:szCs w:val="18"/>
          <w:color w:val="auto"/>
        </w:rPr>
        <w:t>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29"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95" w:lineRule="exact"/>
        <w:rPr>
          <w:sz w:val="20"/>
          <w:szCs w:val="20"/>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ATH clinical development strategy or statistical plan;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our ability to commence a clinical trial;</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IRB approval at each clinical trial site;</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demonstrate a benefit from using a product candidate;</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26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42"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3" w:name="page44"/>
    <w:bookmarkEnd w:id="43"/>
    <w:p>
      <w:pPr>
        <w:jc w:val="both"/>
        <w:ind w:firstLine="510"/>
        <w:spacing w:after="0" w:line="237" w:lineRule="auto"/>
        <w:rPr>
          <w:sz w:val="20"/>
          <w:szCs w:val="20"/>
          <w:color w:val="auto"/>
        </w:rPr>
      </w:pPr>
      <w:r>
        <w:rPr>
          <w:rFonts w:ascii="Arial" w:cs="Arial" w:eastAsia="Arial" w:hAnsi="Arial"/>
          <w:sz w:val="18"/>
          <w:szCs w:val="18"/>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96" w:lineRule="exact"/>
        <w:rPr>
          <w:sz w:val="20"/>
          <w:szCs w:val="20"/>
          <w:color w:val="auto"/>
        </w:rPr>
      </w:pPr>
    </w:p>
    <w:p>
      <w:pPr>
        <w:ind w:left="1020" w:hanging="50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25" w:lineRule="exact"/>
        <w:rPr>
          <w:rFonts w:ascii="Arial" w:cs="Arial" w:eastAsia="Arial" w:hAnsi="Arial"/>
          <w:sz w:val="17"/>
          <w:szCs w:val="17"/>
          <w:color w:val="auto"/>
        </w:rPr>
      </w:pPr>
    </w:p>
    <w:p>
      <w:pPr>
        <w:ind w:left="1020" w:hanging="505"/>
        <w:spacing w:after="0" w:line="23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risk evaluation and mitigation strategy, or REMS;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3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44" w:lineRule="exact"/>
        <w:rPr>
          <w:sz w:val="20"/>
          <w:szCs w:val="20"/>
          <w:color w:val="auto"/>
        </w:rPr>
      </w:pPr>
    </w:p>
    <w:p>
      <w:pPr>
        <w:jc w:val="both"/>
        <w:ind w:firstLine="514"/>
        <w:spacing w:after="0" w:line="235"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30" w:lineRule="exact"/>
        <w:rPr>
          <w:sz w:val="20"/>
          <w:szCs w:val="20"/>
          <w:color w:val="auto"/>
        </w:rPr>
      </w:pPr>
    </w:p>
    <w:p>
      <w:pPr>
        <w:jc w:val="both"/>
        <w:ind w:firstLine="514"/>
        <w:spacing w:after="0" w:line="234"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 P300 Phase 2 clinical trial, to better understand the overall effects of ATH-1017 on working memory processing speed and cognitive measures, with topline results expected in the first half of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 comprehensive and full review of the data may result in different conclusions, which could have a negative impact on our decisions regarding any additional trials for ATH-1017.</w:t>
      </w:r>
    </w:p>
    <w:p>
      <w:pPr>
        <w:spacing w:after="0" w:line="244" w:lineRule="exact"/>
        <w:rPr>
          <w:sz w:val="20"/>
          <w:szCs w:val="20"/>
          <w:color w:val="auto"/>
        </w:rPr>
      </w:pPr>
    </w:p>
    <w:p>
      <w:pPr>
        <w:jc w:val="both"/>
        <w:ind w:firstLine="514"/>
        <w:spacing w:after="0" w:line="235"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4" w:name="page45"/>
    <w:bookmarkEnd w:id="44"/>
    <w:p>
      <w:pPr>
        <w:jc w:val="both"/>
        <w:spacing w:after="0" w:line="239" w:lineRule="auto"/>
        <w:rPr>
          <w:sz w:val="20"/>
          <w:szCs w:val="20"/>
          <w:color w:val="auto"/>
        </w:rPr>
      </w:pPr>
      <w:r>
        <w:rPr>
          <w:rFonts w:ascii="Arial" w:cs="Arial" w:eastAsia="Arial" w:hAnsi="Arial"/>
          <w:sz w:val="18"/>
          <w:szCs w:val="18"/>
          <w:color w:val="auto"/>
        </w:rPr>
        <w:t>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2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246"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For example, we intend to enroll approximately 240 to 300 AD subjects with mild-to-moderate AD in LIFT-AD and 60 to 75 AD subjects with mild-to-moderate AD in our ACT-AD P300 Phase 2 clinical trial. If we are delayed or unsuccessful in enrolling the desired number of subjects in these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For example, enrollment in our ongoing clinical trials, and in particular our ACT-AD clinical trial, has been slowed due to the effects of the COVID-19 pandemic, including governmental restrictions imposed in Australia, where certain of our clinical trial sites are located. This slowed recruitment has resulted in a change in the anticipated timing of top-line results from our Phase 2 ACT-AD clinical trial, which are currently expected by the first half of 2022. Even if we are successful in enrolling the targeted number of subjects in these trials, the FDA and other regulators may request additional clinical trials with larger numbers of subjects as a condition to any regulatory approval.</w:t>
      </w:r>
    </w:p>
    <w:p>
      <w:pPr>
        <w:spacing w:after="0" w:line="229"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Enrollment of patients in our clinical trials may be further delayed or limited as our clinical trial sites limit their onsite staff or temporarily close as a result of the COVID-19 pandemic, including in response to the emergence of any new variants thereof.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24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22"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22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4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5" w:name="page46"/>
    <w:bookmarkEnd w:id="45"/>
    <w:p>
      <w:pPr>
        <w:jc w:val="both"/>
        <w:spacing w:after="0" w:line="203" w:lineRule="exact"/>
        <w:rPr>
          <w:sz w:val="20"/>
          <w:szCs w:val="20"/>
          <w:color w:val="auto"/>
        </w:rPr>
      </w:pPr>
      <w:r>
        <w:rPr>
          <w:rFonts w:ascii="Arial" w:cs="Arial" w:eastAsia="Arial" w:hAnsi="Arial"/>
          <w:sz w:val="18"/>
          <w:szCs w:val="18"/>
          <w:color w:val="auto"/>
        </w:rPr>
        <w:t>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“Business—Competition”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with the SEC on March 25, 2021.</w:t>
      </w:r>
    </w:p>
    <w:p>
      <w:pPr>
        <w:spacing w:after="0" w:line="206"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2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7"/>
          <w:szCs w:val="17"/>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256"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4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22"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07"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6" w:name="page47"/>
    <w:bookmarkEnd w:id="46"/>
    <w:p>
      <w:pPr>
        <w:ind w:left="52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1" w:lineRule="exact"/>
        <w:rPr>
          <w:sz w:val="20"/>
          <w:szCs w:val="20"/>
          <w:color w:val="auto"/>
        </w:rPr>
      </w:pPr>
    </w:p>
    <w:p>
      <w:pPr>
        <w:ind w:left="1020" w:hanging="50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4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2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234"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2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significantly harm our business, results of operations and competitive position.</w:t>
      </w:r>
    </w:p>
    <w:p>
      <w:pPr>
        <w:spacing w:after="0" w:line="27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intense. The loss of one or more of these key employees, or our inability to hire additional key personnel when needed, could have a material adverse effect on our business and prospects.</w:t>
      </w:r>
    </w:p>
    <w:p>
      <w:pPr>
        <w:spacing w:after="0" w:line="229"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In June 2021 our board of directors determined to place Dr. Leen Kawas, our chief executive officer, on temporary leave pending a review of papers co-authored by Dr. Kawas in connection with her doctoral research at Washington State University, among other things. As discussed elsewhere in this report, including in this Risk Factors section under the heading “—</w:t>
      </w:r>
      <w:r>
        <w:rPr>
          <w:rFonts w:ascii="Arial" w:cs="Arial" w:eastAsia="Arial" w:hAnsi="Arial"/>
          <w:sz w:val="18"/>
          <w:szCs w:val="18"/>
          <w:i w:val="1"/>
          <w:iCs w:val="1"/>
          <w:color w:val="auto"/>
        </w:rPr>
        <w:t>An independent special committee of our board</w:t>
      </w:r>
      <w:r>
        <w:rPr>
          <w:rFonts w:ascii="Arial" w:cs="Arial" w:eastAsia="Arial" w:hAnsi="Arial"/>
          <w:sz w:val="18"/>
          <w:szCs w:val="18"/>
          <w:color w:val="auto"/>
        </w:rPr>
        <w:t xml:space="preserve"> </w:t>
      </w:r>
      <w:r>
        <w:rPr>
          <w:rFonts w:ascii="Arial" w:cs="Arial" w:eastAsia="Arial" w:hAnsi="Arial"/>
          <w:sz w:val="18"/>
          <w:szCs w:val="18"/>
          <w:i w:val="1"/>
          <w:iCs w:val="1"/>
          <w:color w:val="auto"/>
        </w:rPr>
        <w:t>of directors is currently engaged in a review of papers co-authored by our chief executive officer in connection with her doctoral research at Washington State University,</w:t>
      </w:r>
      <w:r>
        <w:rPr>
          <w:rFonts w:ascii="Arial" w:cs="Arial" w:eastAsia="Arial" w:hAnsi="Arial"/>
          <w:sz w:val="18"/>
          <w:szCs w:val="18"/>
          <w:color w:val="auto"/>
        </w:rPr>
        <w:t>” an independent special committee of our board of directors is engaged in an investigation of these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investigation is ongoing. In the meantime, Mark Litton, Ph.D., MBA, our chief operating officer, has continued in that role but has also assumed the day-to-day responsibilities of president and chief executive officer. At this time, we are unable to state with any certainty when, if ever, Dr. Kawas will resume her duties as chief executive officer. If Dr. Kawas does not resume her duties as our chief executive officer, the succession and transition process may have a direct or indirect adverse effect on our business, results of operations, hiring and retention efforts, and competitive position.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7" w:name="page48"/>
    <w:bookmarkEnd w:id="47"/>
    <w:p>
      <w:pPr>
        <w:ind w:left="520"/>
        <w:spacing w:after="0"/>
        <w:rPr>
          <w:sz w:val="20"/>
          <w:szCs w:val="20"/>
          <w:color w:val="auto"/>
        </w:rPr>
      </w:pPr>
      <w:r>
        <w:rPr>
          <w:rFonts w:ascii="Arial" w:cs="Arial" w:eastAsia="Arial" w:hAnsi="Arial"/>
          <w:sz w:val="18"/>
          <w:szCs w:val="18"/>
          <w:b w:val="1"/>
          <w:bCs w:val="1"/>
          <w:color w:val="auto"/>
        </w:rPr>
        <w:t>Risks Relating to COVID-19 and Other Health Epidemics</w:t>
      </w:r>
    </w:p>
    <w:p>
      <w:pPr>
        <w:spacing w:after="0" w:line="234" w:lineRule="exact"/>
        <w:rPr>
          <w:sz w:val="20"/>
          <w:szCs w:val="20"/>
          <w:color w:val="auto"/>
        </w:rPr>
      </w:pPr>
    </w:p>
    <w:p>
      <w:pPr>
        <w:jc w:val="both"/>
        <w:ind w:right="20" w:firstLine="510"/>
        <w:spacing w:after="0" w:line="265" w:lineRule="auto"/>
        <w:rPr>
          <w:sz w:val="20"/>
          <w:szCs w:val="20"/>
          <w:color w:val="auto"/>
        </w:rPr>
      </w:pPr>
      <w:r>
        <w:rPr>
          <w:rFonts w:ascii="Arial" w:cs="Arial" w:eastAsia="Arial" w:hAnsi="Arial"/>
          <w:sz w:val="18"/>
          <w:szCs w:val="18"/>
          <w:b w:val="1"/>
          <w:bCs w:val="1"/>
          <w:i w:val="1"/>
          <w:iCs w:val="1"/>
          <w:color w:val="auto"/>
        </w:rPr>
        <w:t>The continuing effects of the novel coronavirus disease, or COVID-19, pandemic could adversely impact our business, including our nonclinical studies and clinical trials.</w:t>
      </w:r>
    </w:p>
    <w:p>
      <w:pPr>
        <w:spacing w:after="0" w:line="220" w:lineRule="exact"/>
        <w:rPr>
          <w:sz w:val="20"/>
          <w:szCs w:val="20"/>
          <w:color w:val="auto"/>
        </w:rPr>
      </w:pPr>
    </w:p>
    <w:p>
      <w:pPr>
        <w:jc w:val="both"/>
        <w:ind w:firstLine="510"/>
        <w:spacing w:after="0" w:line="202" w:lineRule="exact"/>
        <w:rPr>
          <w:sz w:val="20"/>
          <w:szCs w:val="20"/>
          <w:color w:val="auto"/>
        </w:rPr>
      </w:pPr>
      <w:r>
        <w:rPr>
          <w:rFonts w:ascii="Arial" w:cs="Arial" w:eastAsia="Arial" w:hAnsi="Arial"/>
          <w:sz w:val="17"/>
          <w:szCs w:val="17"/>
          <w:color w:val="auto"/>
        </w:rPr>
        <w:t>The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temporarily closed our executive offices and limited the number of staff in our research and development laboratory spaces. While at this time our offices and laboratory spaces have been reopened at full capacity, a resurgence in cases of COVID-19 or a similar health epidemic could recur at any time, which may cause us to again close down our facilities or take other measures in response. In particular, new and highly contagious variants of COVID</w:t>
      </w:r>
      <w:r>
        <w:rPr>
          <w:rFonts w:ascii="MS PGothic" w:cs="MS PGothic" w:eastAsia="MS PGothic" w:hAnsi="MS PGothic"/>
          <w:sz w:val="17"/>
          <w:szCs w:val="17"/>
          <w:color w:val="auto"/>
        </w:rPr>
        <w:t>‑</w:t>
      </w:r>
      <w:r>
        <w:rPr>
          <w:rFonts w:ascii="Arial" w:cs="Arial" w:eastAsia="Arial" w:hAnsi="Arial"/>
          <w:sz w:val="17"/>
          <w:szCs w:val="17"/>
          <w:color w:val="auto"/>
        </w:rPr>
        <w:t>19 continue to emerge and spread quickly throughout certain areas of the United States and elsewhere, and at this point we are unable to determine when and to what extent any such resurgence will affect our business. In addition, a number of our clinical trial sites have been subject to restrictions related to COVID-19 that have adversely affected their operations. While COVID-19 related restrictions have been eased in many of our clinical trial sites, new restrictions could be imposed at any time, whether in response to an outbreak of a new variant of COVID-19 or any similar outbreak. While the extent of the continuing impact of the COVID-19 pandemic on our business and financial results is uncertain, a resurgence in cases of COVID-19 or similar epidemic could have a material negative impact on our business, financial condition and operating results.</w:t>
      </w:r>
    </w:p>
    <w:p>
      <w:pPr>
        <w:spacing w:after="0" w:line="247"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96" w:lineRule="exact"/>
        <w:rPr>
          <w:sz w:val="20"/>
          <w:szCs w:val="20"/>
          <w:color w:val="auto"/>
        </w:rPr>
      </w:pPr>
    </w:p>
    <w:p>
      <w:pPr>
        <w:jc w:val="both"/>
        <w:ind w:left="1020" w:right="20" w:hanging="505"/>
        <w:spacing w:after="0" w:line="23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95" w:lineRule="exact"/>
        <w:rPr>
          <w:rFonts w:ascii="Arial" w:cs="Arial" w:eastAsia="Arial" w:hAnsi="Arial"/>
          <w:sz w:val="18"/>
          <w:szCs w:val="18"/>
          <w:color w:val="auto"/>
        </w:rPr>
      </w:pPr>
    </w:p>
    <w:p>
      <w:pPr>
        <w:jc w:val="both"/>
        <w:ind w:left="1020" w:hanging="505"/>
        <w:spacing w:after="0" w:line="23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13"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95" w:lineRule="exact"/>
        <w:rPr>
          <w:rFonts w:ascii="Arial" w:cs="Arial" w:eastAsia="Arial" w:hAnsi="Arial"/>
          <w:sz w:val="18"/>
          <w:szCs w:val="18"/>
          <w:color w:val="auto"/>
        </w:rPr>
      </w:pPr>
    </w:p>
    <w:p>
      <w:pPr>
        <w:ind w:left="1020" w:right="20" w:hanging="505"/>
        <w:spacing w:after="0" w:line="23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3" w:lineRule="exact"/>
        <w:rPr>
          <w:rFonts w:ascii="Arial" w:cs="Arial" w:eastAsia="Arial" w:hAnsi="Arial"/>
          <w:sz w:val="18"/>
          <w:szCs w:val="18"/>
          <w:color w:val="auto"/>
        </w:rPr>
      </w:pPr>
    </w:p>
    <w:p>
      <w:pPr>
        <w:ind w:left="1020" w:right="20" w:hanging="505"/>
        <w:spacing w:after="0" w:line="23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48" w:name="page49"/>
    <w:bookmarkEnd w:id="48"/>
    <w:p>
      <w:pPr>
        <w:jc w:val="both"/>
        <w:ind w:firstLine="510"/>
        <w:spacing w:after="0" w:line="248" w:lineRule="auto"/>
        <w:rPr>
          <w:sz w:val="20"/>
          <w:szCs w:val="20"/>
          <w:color w:val="auto"/>
        </w:rPr>
      </w:pPr>
      <w:r>
        <w:rPr>
          <w:rFonts w:ascii="Arial" w:cs="Arial" w:eastAsia="Arial" w:hAnsi="Arial"/>
          <w:sz w:val="17"/>
          <w:szCs w:val="17"/>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FDA also issued a guidance on good manufacturing practice considerations for responding to COVID-19 infection in employees in drug products manufacturing, including recommendations for manufacturing controls to prevent contamination of drugs.</w:t>
      </w:r>
    </w:p>
    <w:p>
      <w:pPr>
        <w:spacing w:after="0" w:line="227"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44"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242"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Financial Position and Capital Needs</w:t>
      </w:r>
    </w:p>
    <w:p>
      <w:pPr>
        <w:spacing w:after="0" w:line="248" w:lineRule="exact"/>
        <w:rPr>
          <w:sz w:val="20"/>
          <w:szCs w:val="20"/>
          <w:color w:val="auto"/>
        </w:rPr>
      </w:pPr>
    </w:p>
    <w:p>
      <w:pPr>
        <w:jc w:val="both"/>
        <w:ind w:right="20" w:firstLine="510"/>
        <w:spacing w:after="0" w:line="26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220"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 xml:space="preserve">We have not generated any revenue from product sales and our product candidates will require substantial additional investment before they may provide us with any revenue. We had net losses of $22.8 million and $3.8 million for the six months ended June 30, 2021 </w:t>
      </w:r>
      <w:r>
        <w:rPr>
          <w:rFonts w:ascii="Arial" w:cs="Arial" w:eastAsia="Arial" w:hAnsi="Arial"/>
          <w:sz w:val="18"/>
          <w:szCs w:val="18"/>
          <w:color w:val="212529"/>
        </w:rPr>
        <w:t>and 2020,</w:t>
      </w:r>
      <w:r>
        <w:rPr>
          <w:rFonts w:ascii="Arial" w:cs="Arial" w:eastAsia="Arial" w:hAnsi="Arial"/>
          <w:sz w:val="18"/>
          <w:szCs w:val="18"/>
          <w:color w:val="auto"/>
        </w:rPr>
        <w:t xml:space="preserve"> </w:t>
      </w:r>
      <w:r>
        <w:rPr>
          <w:rFonts w:ascii="Arial" w:cs="Arial" w:eastAsia="Arial" w:hAnsi="Arial"/>
          <w:sz w:val="18"/>
          <w:szCs w:val="18"/>
          <w:color w:val="212529"/>
        </w:rPr>
        <w:t>respectively, and an accumulated deficit of $63.9 million as of June 30, 2021.</w:t>
      </w:r>
    </w:p>
    <w:p>
      <w:pPr>
        <w:spacing w:after="0" w:line="229"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212529"/>
        </w:rPr>
        <w:t xml:space="preserve">We have devoted most of our financial resources to research and development, including our clinical and nonclinical development </w:t>
      </w:r>
      <w:r>
        <w:rPr>
          <w:rFonts w:ascii="Arial" w:cs="Arial" w:eastAsia="Arial" w:hAnsi="Arial"/>
          <w:sz w:val="18"/>
          <w:szCs w:val="18"/>
          <w:color w:val="00000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1" w:lineRule="exact"/>
        <w:rPr>
          <w:sz w:val="20"/>
          <w:szCs w:val="20"/>
          <w:color w:val="auto"/>
        </w:rPr>
      </w:pPr>
    </w:p>
    <w:p>
      <w:pPr>
        <w:ind w:left="1020" w:hanging="50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9" w:name="page50"/>
    <w:bookmarkEnd w:id="49"/>
    <w:p>
      <w:pPr>
        <w:ind w:left="1020" w:hanging="505"/>
        <w:spacing w:after="0" w:line="23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ATH-1017 for the treatment of mild-to-moderate AD in addition to LIFT-AD;</w:t>
      </w:r>
    </w:p>
    <w:p>
      <w:pPr>
        <w:spacing w:after="0" w:line="95" w:lineRule="exact"/>
        <w:rPr>
          <w:rFonts w:ascii="Arial" w:cs="Arial" w:eastAsia="Arial" w:hAnsi="Arial"/>
          <w:sz w:val="18"/>
          <w:szCs w:val="18"/>
          <w:color w:val="auto"/>
        </w:rPr>
      </w:pPr>
    </w:p>
    <w:p>
      <w:pPr>
        <w:ind w:left="1020" w:right="20" w:hanging="505"/>
        <w:spacing w:after="0" w:line="23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expand our facilities and lab space;</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or other agreements;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 and</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6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cs="Arial" w:eastAsia="Arial" w:hAnsi="Arial"/>
          <w:sz w:val="18"/>
          <w:szCs w:val="18"/>
          <w:color w:val="212529"/>
        </w:rPr>
        <w:t>studies</w:t>
      </w:r>
      <w:r>
        <w:rPr>
          <w:rFonts w:ascii="Arial" w:cs="Arial" w:eastAsia="Arial" w:hAnsi="Arial"/>
          <w:sz w:val="18"/>
          <w:szCs w:val="18"/>
          <w:color w:val="auto"/>
        </w:rPr>
        <w:t xml:space="preserve"> in addition to those that we currently anticipate. Our prior losses, combined with expected future losses, have had and will continue to have an adverse effect on our stockholders’ equity.</w:t>
      </w:r>
    </w:p>
    <w:p>
      <w:pPr>
        <w:spacing w:after="0" w:line="207"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23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AD, PDD, and any other indications that we may pursue in the future will require substantial amounts of capital. In addition, if we </w:t>
      </w:r>
      <w:r>
        <w:rPr>
          <w:rFonts w:ascii="Arial" w:cs="Arial" w:eastAsia="Arial" w:hAnsi="Arial"/>
          <w:sz w:val="18"/>
          <w:szCs w:val="18"/>
          <w:color w:val="212529"/>
        </w:rPr>
        <w:t>obtain</w:t>
      </w:r>
      <w:r>
        <w:rPr>
          <w:rFonts w:ascii="Arial" w:cs="Arial" w:eastAsia="Arial" w:hAnsi="Arial"/>
          <w:sz w:val="18"/>
          <w:szCs w:val="18"/>
          <w:color w:val="auto"/>
        </w:rPr>
        <w:t xml:space="preserve"> </w:t>
      </w:r>
      <w:r>
        <w:rPr>
          <w:rFonts w:ascii="Arial" w:cs="Arial" w:eastAsia="Arial" w:hAnsi="Arial"/>
          <w:sz w:val="18"/>
          <w:szCs w:val="18"/>
          <w:color w:val="212529"/>
        </w:rPr>
        <w:t>marketing approval for ATH-1017 or any future product candidates, we expect to incur significant commercialization expenses related to sales, marketing, manufacturing, and distribution. Furthermore, we expect to continue to incur additional costs associated with operating as a public company.</w:t>
      </w:r>
    </w:p>
    <w:p>
      <w:pPr>
        <w:spacing w:after="0" w:line="24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212529"/>
        </w:rPr>
        <w:t>Accordingly, we will need to obtain substantial additional funding in connection with our continuing operations. As of June 30, 2021, we had cash, cash equivalents, and investments of $349.9 million. Based upon our current operating plan, we estimate that our existing cash, cash equivalents, and investments will be sufficient to fund our operating expenses and capital expenditure requirements at least through 2022.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50" w:name="page51"/>
    <w:bookmarkEnd w:id="50"/>
    <w:p>
      <w:pPr>
        <w:ind w:right="20" w:firstLine="510"/>
        <w:spacing w:after="0" w:line="239" w:lineRule="auto"/>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amount and timing of our future funding requirements depends on many factors, some of which are outside of our control, including</w:t>
      </w:r>
      <w:r>
        <w:rPr>
          <w:rFonts w:ascii="Arial" w:cs="Arial" w:eastAsia="Arial" w:hAnsi="Arial"/>
          <w:sz w:val="18"/>
          <w:szCs w:val="18"/>
          <w:color w:val="212529"/>
        </w:rPr>
        <w:t xml:space="preserve"> </w:t>
      </w:r>
      <w:r>
        <w:rPr>
          <w:rFonts w:ascii="Arial" w:cs="Arial" w:eastAsia="Arial" w:hAnsi="Arial"/>
          <w:sz w:val="18"/>
          <w:szCs w:val="18"/>
          <w:color w:val="000000"/>
        </w:rPr>
        <w:t>but not limited to:</w:t>
      </w:r>
    </w:p>
    <w:p>
      <w:pPr>
        <w:spacing w:after="0" w:line="96" w:lineRule="exact"/>
        <w:rPr>
          <w:sz w:val="20"/>
          <w:szCs w:val="20"/>
          <w:color w:val="auto"/>
        </w:rPr>
      </w:pPr>
    </w:p>
    <w:p>
      <w:pPr>
        <w:ind w:left="1020" w:hanging="505"/>
        <w:spacing w:after="0" w:line="23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costs, clinical trial design, results of and timing of our LIFT-AD trial and other clinical trials of ATH-1017, including for potential additional indications that we are pursuing beyond AD, such as PDD;</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ATH-1017 for AD;</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our product candidates;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07" w:lineRule="exact"/>
        <w:rPr>
          <w:rFonts w:ascii="Arial" w:cs="Arial" w:eastAsia="Arial" w:hAnsi="Arial"/>
          <w:sz w:val="18"/>
          <w:szCs w:val="18"/>
          <w:color w:val="auto"/>
        </w:rPr>
      </w:pPr>
    </w:p>
    <w:p>
      <w:pPr>
        <w:ind w:left="1020" w:hanging="50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arising out of the ongoing investigation of the independent special committee of our board of directors described in</w:t>
      </w:r>
    </w:p>
    <w:p>
      <w:pPr>
        <w:jc w:val="both"/>
        <w:ind w:left="1020"/>
        <w:spacing w:after="0" w:line="23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An independent special committee of our board of directors is currently engaged in a review of papers co-authored by our</w:t>
      </w:r>
      <w:r>
        <w:rPr>
          <w:rFonts w:ascii="Arial" w:cs="Arial" w:eastAsia="Arial" w:hAnsi="Arial"/>
          <w:sz w:val="18"/>
          <w:szCs w:val="18"/>
          <w:color w:val="auto"/>
        </w:rPr>
        <w:t xml:space="preserve"> </w:t>
      </w:r>
      <w:r>
        <w:rPr>
          <w:rFonts w:ascii="Arial" w:cs="Arial" w:eastAsia="Arial" w:hAnsi="Arial"/>
          <w:sz w:val="18"/>
          <w:szCs w:val="18"/>
          <w:i w:val="1"/>
          <w:iCs w:val="1"/>
          <w:color w:val="auto"/>
        </w:rPr>
        <w:t>chief executive officer in connection with her doctoral research at Washington State University</w:t>
      </w:r>
      <w:r>
        <w:rPr>
          <w:rFonts w:ascii="Arial" w:cs="Arial" w:eastAsia="Arial" w:hAnsi="Arial"/>
          <w:sz w:val="18"/>
          <w:szCs w:val="18"/>
          <w:color w:val="auto"/>
        </w:rPr>
        <w:t>,” and in “Part II, Item 1—Legal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of this report, may discourage potential counterparties from entering into relationships with us;</w:t>
      </w:r>
    </w:p>
    <w:p>
      <w:pPr>
        <w:spacing w:after="0" w:line="95" w:lineRule="exact"/>
        <w:rPr>
          <w:rFonts w:ascii="Arial" w:cs="Arial" w:eastAsia="Arial" w:hAnsi="Arial"/>
          <w:sz w:val="18"/>
          <w:szCs w:val="18"/>
          <w:color w:val="auto"/>
        </w:rPr>
      </w:pPr>
    </w:p>
    <w:p>
      <w:pPr>
        <w:ind w:left="1020" w:right="20" w:hanging="505"/>
        <w:spacing w:after="0" w:line="23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timing and outcomes of any litigation involving our company, including securities class actions and government investigations which we may or may in the future become involved in;</w:t>
      </w:r>
    </w:p>
    <w:p>
      <w:pPr>
        <w:spacing w:after="0" w:line="95"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23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 xml:space="preserve">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18"/>
          <w:szCs w:val="18"/>
          <w:color w:val="212529"/>
        </w:rPr>
        <w:t>unable</w:t>
      </w:r>
      <w:r>
        <w:rPr>
          <w:rFonts w:ascii="Arial" w:cs="Arial" w:eastAsia="Arial" w:hAnsi="Arial"/>
          <w:sz w:val="18"/>
          <w:szCs w:val="18"/>
          <w:color w:val="auto"/>
        </w:rPr>
        <w:t xml:space="preserv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529"/>
        </w:rPr>
        <w:t xml:space="preserve">Our ability to use net operating </w:t>
      </w:r>
      <w:r>
        <w:rPr>
          <w:rFonts w:ascii="Arial" w:cs="Arial" w:eastAsia="Arial" w:hAnsi="Arial"/>
          <w:sz w:val="18"/>
          <w:szCs w:val="18"/>
          <w:b w:val="1"/>
          <w:bCs w:val="1"/>
          <w:i w:val="1"/>
          <w:iCs w:val="1"/>
          <w:color w:val="000000"/>
        </w:rPr>
        <w:t>losses</w:t>
      </w:r>
      <w:r>
        <w:rPr>
          <w:rFonts w:ascii="Arial" w:cs="Arial" w:eastAsia="Arial" w:hAnsi="Arial"/>
          <w:sz w:val="18"/>
          <w:szCs w:val="18"/>
          <w:b w:val="1"/>
          <w:bCs w:val="1"/>
          <w:i w:val="1"/>
          <w:iCs w:val="1"/>
          <w:color w:val="212529"/>
        </w:rPr>
        <w:t xml:space="preserve"> to offset future taxable income may be subject to certain limitations.</w:t>
      </w:r>
    </w:p>
    <w:p>
      <w:pPr>
        <w:spacing w:after="0" w:line="27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212529"/>
        </w:rPr>
        <w:t xml:space="preserve">As of December 31, 2020, we had federal net operating loss carryforwards, or NOLs, to offset future taxable income of approximately $9.4 million and federal tax credit carryforwards of approximately $1.3 million. The federal NOLs generated during and after fiscal 2018 totaling $29.1 million are carried forward indefinitely, while all others, if not utilized, will expire in various </w:t>
      </w:r>
      <w:r>
        <w:rPr>
          <w:rFonts w:ascii="Arial" w:cs="Arial" w:eastAsia="Arial" w:hAnsi="Arial"/>
          <w:sz w:val="18"/>
          <w:szCs w:val="18"/>
          <w:color w:val="000000"/>
        </w:rPr>
        <w:t>years</w:t>
      </w:r>
      <w:r>
        <w:rPr>
          <w:rFonts w:ascii="Arial" w:cs="Arial" w:eastAsia="Arial" w:hAnsi="Arial"/>
          <w:sz w:val="18"/>
          <w:szCs w:val="18"/>
          <w:color w:val="212529"/>
        </w:rPr>
        <w:t xml:space="preserve">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1" w:name="page52"/>
    <w:bookmarkEnd w:id="51"/>
    <w:p>
      <w:pPr>
        <w:jc w:val="both"/>
        <w:spacing w:after="0" w:line="237" w:lineRule="auto"/>
        <w:rPr>
          <w:sz w:val="20"/>
          <w:szCs w:val="20"/>
          <w:color w:val="auto"/>
        </w:rPr>
      </w:pPr>
      <w:r>
        <w:rPr>
          <w:rFonts w:ascii="Arial" w:cs="Arial" w:eastAsia="Arial" w:hAnsi="Arial"/>
          <w:sz w:val="18"/>
          <w:szCs w:val="18"/>
          <w:color w:val="212529"/>
        </w:rPr>
        <w:t>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248" w:lineRule="exact"/>
        <w:rPr>
          <w:sz w:val="20"/>
          <w:szCs w:val="20"/>
          <w:color w:val="auto"/>
        </w:rPr>
      </w:pPr>
    </w:p>
    <w:p>
      <w:pPr>
        <w:jc w:val="both"/>
        <w:ind w:firstLine="510"/>
        <w:spacing w:after="0" w:line="243"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4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229"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1" w:lineRule="exact"/>
        <w:rPr>
          <w:sz w:val="20"/>
          <w:szCs w:val="20"/>
          <w:color w:val="auto"/>
        </w:rPr>
      </w:pPr>
    </w:p>
    <w:p>
      <w:pPr>
        <w:ind w:left="1020" w:hanging="505"/>
        <w:spacing w:after="0" w:line="23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95"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95" w:lineRule="exact"/>
        <w:rPr>
          <w:rFonts w:ascii="Arial" w:cs="Arial" w:eastAsia="Arial" w:hAnsi="Arial"/>
          <w:sz w:val="18"/>
          <w:szCs w:val="18"/>
          <w:color w:val="auto"/>
        </w:rPr>
      </w:pPr>
    </w:p>
    <w:p>
      <w:pPr>
        <w:jc w:val="both"/>
        <w:ind w:left="1020" w:hanging="505"/>
        <w:spacing w:after="0" w:line="23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in connection with the recent controversy and ongoing government investigation of the FDA’s approval process for Biogen’s AD drug Aduhelm.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2" w:name="page53"/>
    <w:bookmarkEnd w:id="52"/>
    <w:p>
      <w:pPr>
        <w:jc w:val="both"/>
        <w:ind w:firstLine="510"/>
        <w:spacing w:after="0" w:line="234"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3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20" w:lineRule="exact"/>
        <w:rPr>
          <w:sz w:val="20"/>
          <w:szCs w:val="20"/>
          <w:color w:val="auto"/>
        </w:rPr>
      </w:pPr>
    </w:p>
    <w:p>
      <w:pPr>
        <w:jc w:val="both"/>
        <w:ind w:firstLine="510"/>
        <w:spacing w:after="0" w:line="243"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40" w:lineRule="exact"/>
        <w:rPr>
          <w:sz w:val="20"/>
          <w:szCs w:val="20"/>
          <w:color w:val="auto"/>
        </w:rPr>
      </w:pPr>
    </w:p>
    <w:p>
      <w:pPr>
        <w:jc w:val="both"/>
        <w:ind w:firstLine="514"/>
        <w:spacing w:after="0" w:line="234"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32" w:lineRule="exact"/>
        <w:rPr>
          <w:sz w:val="20"/>
          <w:szCs w:val="20"/>
          <w:color w:val="auto"/>
        </w:rPr>
      </w:pPr>
    </w:p>
    <w:p>
      <w:pPr>
        <w:jc w:val="both"/>
        <w:ind w:firstLine="514"/>
        <w:spacing w:after="0" w:line="234"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246" w:lineRule="exact"/>
        <w:rPr>
          <w:sz w:val="20"/>
          <w:szCs w:val="20"/>
          <w:color w:val="auto"/>
        </w:rPr>
      </w:pPr>
    </w:p>
    <w:p>
      <w:pPr>
        <w:jc w:val="both"/>
        <w:ind w:firstLine="514"/>
        <w:spacing w:after="0" w:line="233"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249" w:lineRule="exact"/>
        <w:rPr>
          <w:sz w:val="20"/>
          <w:szCs w:val="20"/>
          <w:color w:val="auto"/>
        </w:rPr>
      </w:pPr>
    </w:p>
    <w:p>
      <w:pPr>
        <w:jc w:val="both"/>
        <w:ind w:firstLine="514"/>
        <w:spacing w:after="0" w:line="235"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3" w:name="page54"/>
    <w:bookmarkEnd w:id="53"/>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07"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4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2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220"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03" w:lineRule="exact"/>
        <w:rPr>
          <w:sz w:val="20"/>
          <w:szCs w:val="20"/>
          <w:color w:val="auto"/>
        </w:rPr>
      </w:pPr>
    </w:p>
    <w:p>
      <w:pPr>
        <w:ind w:left="1020" w:hanging="505"/>
        <w:spacing w:after="0" w:line="23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95" w:lineRule="exact"/>
        <w:rPr>
          <w:rFonts w:ascii="Arial" w:cs="Arial" w:eastAsia="Arial" w:hAnsi="Arial"/>
          <w:sz w:val="18"/>
          <w:szCs w:val="18"/>
          <w:color w:val="auto"/>
        </w:rPr>
      </w:pPr>
    </w:p>
    <w:p>
      <w:pPr>
        <w:ind w:left="1020" w:right="20" w:hanging="505"/>
        <w:spacing w:after="0" w:line="23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54" w:name="page55"/>
    <w:bookmarkEnd w:id="54"/>
    <w:p>
      <w:pPr>
        <w:jc w:val="both"/>
        <w:ind w:firstLine="510"/>
        <w:spacing w:after="0" w:line="234"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spacing w:after="0" w:line="229"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20" w:lineRule="exact"/>
        <w:rPr>
          <w:sz w:val="20"/>
          <w:szCs w:val="20"/>
          <w:color w:val="auto"/>
        </w:rPr>
      </w:pPr>
    </w:p>
    <w:p>
      <w:pPr>
        <w:jc w:val="both"/>
        <w:ind w:firstLine="510"/>
        <w:spacing w:after="0"/>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44"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28" w:lineRule="exact"/>
        <w:rPr>
          <w:sz w:val="20"/>
          <w:szCs w:val="20"/>
          <w:color w:val="auto"/>
        </w:rPr>
      </w:pPr>
    </w:p>
    <w:p>
      <w:pPr>
        <w:jc w:val="both"/>
        <w:ind w:firstLine="514"/>
        <w:spacing w:after="0" w:line="233"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postponed most inspections of foreign manufacturing facilities and routine surveillance inspections of domestic manufacturing facilities in 2020. In May 2021, the FDA issued updated guidance on manufacturing, supply chain, and drug and biological product inspections, indicating that it intends to continue using other tools and approaches where possible for pre-approval inspections, and that it will continue to conduct “mission-critical” inspections on a case-by-case basis, or, where possible to do so safely, resume prioritized domestic inspections, such as pre-approval and surveillance inspections. If a prolonged government shutdown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28"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7"/>
          <w:szCs w:val="17"/>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228" w:lineRule="exact"/>
        <w:rPr>
          <w:sz w:val="20"/>
          <w:szCs w:val="20"/>
          <w:color w:val="auto"/>
        </w:rPr>
      </w:pPr>
    </w:p>
    <w:p>
      <w:pPr>
        <w:jc w:val="both"/>
        <w:ind w:firstLine="514"/>
        <w:spacing w:after="0" w:line="237"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55" w:name="page56"/>
    <w:bookmarkEnd w:id="55"/>
    <w:p>
      <w:pPr>
        <w:jc w:val="both"/>
        <w:spacing w:after="0" w:line="234" w:lineRule="auto"/>
        <w:rPr>
          <w:sz w:val="20"/>
          <w:szCs w:val="20"/>
          <w:color w:val="auto"/>
        </w:rPr>
      </w:pPr>
      <w:r>
        <w:rPr>
          <w:rFonts w:ascii="Arial" w:cs="Arial" w:eastAsia="Arial" w:hAnsi="Arial"/>
          <w:sz w:val="18"/>
          <w:szCs w:val="18"/>
          <w:color w:val="auto"/>
        </w:rPr>
        <w:t>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29"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5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In view of the recent controversy regarding the FDA’s approval of Biogen’s Aduhelm through the accelerated approval pathway, the FDA has requested the Office of the Inspector General to investigate the FDA’s review of Aduhelm leading up to its approval. It is unclear how this investigation will generally impact the FDA’s review process, policies, and data requirements for the accelerated approval program in the future or specifically impact new drug applications in the treatment of Alzheimer’s disease and our clinical development programs.</w:t>
      </w:r>
    </w:p>
    <w:p>
      <w:pPr>
        <w:spacing w:after="0" w:line="224"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20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95" w:lineRule="exact"/>
        <w:rPr>
          <w:sz w:val="20"/>
          <w:szCs w:val="20"/>
          <w:color w:val="auto"/>
        </w:rPr>
      </w:pPr>
    </w:p>
    <w:p>
      <w:pPr>
        <w:ind w:left="1020" w:hanging="50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our manufacturing arrangements;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modifications to product labeling;</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recall or discontinuation of our products; or</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243" w:lineRule="exact"/>
        <w:rPr>
          <w:sz w:val="20"/>
          <w:szCs w:val="20"/>
          <w:color w:val="auto"/>
        </w:rPr>
      </w:pPr>
    </w:p>
    <w:p>
      <w:pPr>
        <w:jc w:val="both"/>
        <w:ind w:firstLine="514"/>
        <w:spacing w:after="0" w:line="235"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6" w:name="page57"/>
    <w:bookmarkEnd w:id="56"/>
    <w:p>
      <w:pPr>
        <w:jc w:val="both"/>
        <w:spacing w:after="0" w:line="233" w:lineRule="auto"/>
        <w:rPr>
          <w:sz w:val="20"/>
          <w:szCs w:val="20"/>
          <w:color w:val="auto"/>
        </w:rPr>
      </w:pPr>
      <w:r>
        <w:rPr>
          <w:rFonts w:ascii="Arial" w:cs="Arial" w:eastAsia="Arial" w:hAnsi="Arial"/>
          <w:sz w:val="18"/>
          <w:szCs w:val="18"/>
          <w:color w:val="auto"/>
        </w:rPr>
        <w:t>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209"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 Complying with any new legislation and regulatory requirements could be time-intensive and expensive, resulting in a material adverse effect on our business.</w:t>
      </w:r>
    </w:p>
    <w:p>
      <w:pPr>
        <w:spacing w:after="0" w:line="231"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with the exception of a temporary suspension implemented under various COVID-19 relief legislation from May 1, 2020 through the end of 2021, unless additional Congressional action is taken.</w:t>
      </w:r>
    </w:p>
    <w:p>
      <w:pPr>
        <w:spacing w:after="0" w:line="250"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7" w:name="page58"/>
    <w:bookmarkEnd w:id="57"/>
    <w:p>
      <w:pPr>
        <w:jc w:val="both"/>
        <w:spacing w:after="0" w:line="239" w:lineRule="auto"/>
        <w:rPr>
          <w:sz w:val="20"/>
          <w:szCs w:val="20"/>
          <w:color w:val="auto"/>
        </w:rPr>
      </w:pPr>
      <w:r>
        <w:rPr>
          <w:rFonts w:ascii="Arial" w:cs="Arial" w:eastAsia="Arial" w:hAnsi="Arial"/>
          <w:sz w:val="18"/>
          <w:szCs w:val="18"/>
          <w:color w:val="auto"/>
        </w:rPr>
        <w:t>under the Biden administration. The impact of these lawsuits as well as legislative, executive, and administrative actions of the Biden administration on us and the pharmaceutical industry as a whole is unclear.</w:t>
      </w:r>
    </w:p>
    <w:p>
      <w:pPr>
        <w:spacing w:after="0" w:line="23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4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42"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97" w:lineRule="exact"/>
        <w:rPr>
          <w:sz w:val="20"/>
          <w:szCs w:val="20"/>
          <w:color w:val="auto"/>
        </w:rPr>
      </w:pPr>
    </w:p>
    <w:p>
      <w:pPr>
        <w:ind w:left="1020" w:hanging="50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48"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243"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8" w:name="page59"/>
    <w:bookmarkEnd w:id="58"/>
    <w:p>
      <w:pPr>
        <w:jc w:val="both"/>
        <w:ind w:firstLine="510"/>
        <w:spacing w:after="0"/>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31"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1" w:lineRule="exact"/>
        <w:rPr>
          <w:sz w:val="20"/>
          <w:szCs w:val="20"/>
          <w:color w:val="auto"/>
        </w:rPr>
      </w:pPr>
    </w:p>
    <w:p>
      <w:pPr>
        <w:jc w:val="both"/>
        <w:ind w:left="1020" w:hanging="505"/>
        <w:spacing w:after="0" w:line="23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103" w:lineRule="exact"/>
        <w:rPr>
          <w:rFonts w:ascii="Arial" w:cs="Arial" w:eastAsia="Arial" w:hAnsi="Arial"/>
          <w:sz w:val="18"/>
          <w:szCs w:val="18"/>
          <w:color w:val="auto"/>
        </w:rPr>
      </w:pPr>
    </w:p>
    <w:p>
      <w:pPr>
        <w:jc w:val="both"/>
        <w:ind w:left="1020" w:hanging="505"/>
        <w:spacing w:after="0" w:line="23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103" w:lineRule="exact"/>
        <w:rPr>
          <w:rFonts w:ascii="Arial" w:cs="Arial" w:eastAsia="Arial" w:hAnsi="Arial"/>
          <w:sz w:val="18"/>
          <w:szCs w:val="18"/>
          <w:color w:val="auto"/>
        </w:rPr>
      </w:pPr>
    </w:p>
    <w:p>
      <w:pPr>
        <w:jc w:val="both"/>
        <w:ind w:left="1020" w:hanging="505"/>
        <w:spacing w:after="0" w:line="234"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7" w:lineRule="exact"/>
        <w:rPr>
          <w:rFonts w:ascii="Arial" w:cs="Arial" w:eastAsia="Arial" w:hAnsi="Arial"/>
          <w:sz w:val="18"/>
          <w:szCs w:val="18"/>
          <w:color w:val="auto"/>
        </w:rPr>
      </w:pPr>
    </w:p>
    <w:p>
      <w:pPr>
        <w:jc w:val="both"/>
        <w:ind w:left="1020" w:hanging="505"/>
        <w:spacing w:after="0" w:line="23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59" w:name="page60"/>
    <w:bookmarkEnd w:id="59"/>
    <w:p>
      <w:pPr>
        <w:ind w:left="1020"/>
        <w:spacing w:after="0" w:line="239" w:lineRule="auto"/>
        <w:rPr>
          <w:sz w:val="20"/>
          <w:szCs w:val="20"/>
          <w:color w:val="auto"/>
        </w:rPr>
      </w:pPr>
      <w:r>
        <w:rPr>
          <w:rFonts w:ascii="Arial" w:cs="Arial" w:eastAsia="Arial" w:hAnsi="Arial"/>
          <w:sz w:val="18"/>
          <w:szCs w:val="18"/>
          <w:color w:val="auto"/>
        </w:rPr>
        <w:t>gave state attorneys general new authority to file civil actions for damages or injunctions in federal courts to enforce the federal HIPAA laws and seek attorneys’ fees and costs associated with pursuing federal civil actions.</w:t>
      </w:r>
    </w:p>
    <w:p>
      <w:pPr>
        <w:spacing w:after="0" w:line="96" w:lineRule="exact"/>
        <w:rPr>
          <w:sz w:val="20"/>
          <w:szCs w:val="20"/>
          <w:color w:val="auto"/>
        </w:rPr>
      </w:pPr>
    </w:p>
    <w:p>
      <w:pPr>
        <w:jc w:val="both"/>
        <w:ind w:left="1020" w:hanging="505"/>
        <w:spacing w:after="0" w:line="23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and teaching hospitals, as well as ownership and investment interests held by physicians and their immediate family members. Effective January 1, 2022, for data reported to CMS in 2022, these reporting obligations with respect to covered recipients will extend to include payments and transfers of value made during the previous year to certain non-physician providers such as physician assistants and nurse practitioners.</w:t>
      </w:r>
    </w:p>
    <w:p>
      <w:pPr>
        <w:spacing w:after="0" w:line="97"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95" w:lineRule="exact"/>
        <w:rPr>
          <w:rFonts w:ascii="Arial" w:cs="Arial" w:eastAsia="Arial" w:hAnsi="Arial"/>
          <w:sz w:val="18"/>
          <w:szCs w:val="18"/>
          <w:color w:val="auto"/>
        </w:rPr>
      </w:pPr>
    </w:p>
    <w:p>
      <w:pPr>
        <w:jc w:val="both"/>
        <w:ind w:left="1020" w:hanging="505"/>
        <w:spacing w:after="0" w:line="23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5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08"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234"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60" w:name="page61"/>
    <w:bookmarkEnd w:id="60"/>
    <w:p>
      <w:pPr>
        <w:jc w:val="both"/>
        <w:spacing w:after="0" w:line="237" w:lineRule="auto"/>
        <w:rPr>
          <w:sz w:val="20"/>
          <w:szCs w:val="20"/>
          <w:color w:val="auto"/>
        </w:rPr>
      </w:pPr>
      <w:r>
        <w:rPr>
          <w:rFonts w:ascii="Arial" w:cs="Arial" w:eastAsia="Arial" w:hAnsi="Arial"/>
          <w:sz w:val="18"/>
          <w:szCs w:val="18"/>
          <w:color w:val="auto"/>
        </w:rPr>
        <w:t>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07"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2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4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07"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2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234"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34"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243"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1" w:name="page62"/>
    <w:bookmarkEnd w:id="61"/>
    <w:p>
      <w:pPr>
        <w:jc w:val="both"/>
        <w:spacing w:after="0" w:line="234" w:lineRule="auto"/>
        <w:rPr>
          <w:sz w:val="20"/>
          <w:szCs w:val="20"/>
          <w:color w:val="auto"/>
        </w:rPr>
      </w:pPr>
      <w:r>
        <w:rPr>
          <w:rFonts w:ascii="Arial" w:cs="Arial" w:eastAsia="Arial" w:hAnsi="Arial"/>
          <w:sz w:val="18"/>
          <w:szCs w:val="18"/>
          <w:color w:val="auto"/>
        </w:rPr>
        <w:t>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3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4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21" w:lineRule="exact"/>
        <w:rPr>
          <w:sz w:val="20"/>
          <w:szCs w:val="20"/>
          <w:color w:val="auto"/>
        </w:rPr>
      </w:pPr>
    </w:p>
    <w:p>
      <w:pPr>
        <w:jc w:val="both"/>
        <w:ind w:firstLine="510"/>
        <w:spacing w:after="0" w:line="243"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227"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03" w:lineRule="exact"/>
        <w:rPr>
          <w:sz w:val="20"/>
          <w:szCs w:val="20"/>
          <w:color w:val="auto"/>
        </w:rPr>
      </w:pPr>
    </w:p>
    <w:p>
      <w:pPr>
        <w:jc w:val="both"/>
        <w:ind w:left="1020" w:hanging="505"/>
        <w:spacing w:after="0" w:line="23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2" w:name="page63"/>
    <w:bookmarkEnd w:id="62"/>
    <w:p>
      <w:pPr>
        <w:ind w:left="1020" w:hanging="50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61"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14"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234"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2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207"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63" w:name="page64"/>
    <w:bookmarkEnd w:id="63"/>
    <w:p>
      <w:pPr>
        <w:jc w:val="both"/>
        <w:spacing w:after="0" w:line="239" w:lineRule="auto"/>
        <w:rPr>
          <w:sz w:val="20"/>
          <w:szCs w:val="20"/>
          <w:color w:val="auto"/>
        </w:rPr>
      </w:pPr>
      <w:r>
        <w:rPr>
          <w:rFonts w:ascii="Arial" w:cs="Arial" w:eastAsia="Arial" w:hAnsi="Arial"/>
          <w:sz w:val="18"/>
          <w:szCs w:val="18"/>
          <w:color w:val="auto"/>
        </w:rPr>
        <w:t>environmental laws and regulations is expensive, and current or future environmental regulations may impair our research, development and production efforts, which could harm our business, prospects, financial condition or results of operations.</w:t>
      </w:r>
    </w:p>
    <w:p>
      <w:pPr>
        <w:spacing w:after="0" w:line="208" w:lineRule="exact"/>
        <w:rPr>
          <w:sz w:val="20"/>
          <w:szCs w:val="20"/>
          <w:color w:val="auto"/>
        </w:rPr>
      </w:pPr>
    </w:p>
    <w:p>
      <w:pPr>
        <w:jc w:val="both"/>
        <w:ind w:right="20" w:firstLine="510"/>
        <w:spacing w:after="0" w:line="295" w:lineRule="auto"/>
        <w:rPr>
          <w:sz w:val="20"/>
          <w:szCs w:val="20"/>
          <w:color w:val="auto"/>
        </w:rPr>
      </w:pPr>
      <w:r>
        <w:rPr>
          <w:rFonts w:ascii="Arial" w:cs="Arial" w:eastAsia="Arial" w:hAnsi="Arial"/>
          <w:sz w:val="17"/>
          <w:szCs w:val="17"/>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19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own worldwide rights to ATH-1017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42"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In addition, the effects to our business and reputation discussed in “—</w:t>
      </w:r>
      <w:r>
        <w:rPr>
          <w:rFonts w:ascii="Arial" w:cs="Arial" w:eastAsia="Arial" w:hAnsi="Arial"/>
          <w:sz w:val="18"/>
          <w:szCs w:val="18"/>
          <w:i w:val="1"/>
          <w:iCs w:val="1"/>
          <w:color w:val="auto"/>
        </w:rPr>
        <w:t>An independent special committee of our board of directors is currently engaged in a</w:t>
      </w:r>
      <w:r>
        <w:rPr>
          <w:rFonts w:ascii="Arial" w:cs="Arial" w:eastAsia="Arial" w:hAnsi="Arial"/>
          <w:sz w:val="18"/>
          <w:szCs w:val="18"/>
          <w:color w:val="auto"/>
        </w:rPr>
        <w:t xml:space="preserve"> </w:t>
      </w:r>
      <w:r>
        <w:rPr>
          <w:rFonts w:ascii="Arial" w:cs="Arial" w:eastAsia="Arial" w:hAnsi="Arial"/>
          <w:sz w:val="18"/>
          <w:szCs w:val="18"/>
          <w:i w:val="1"/>
          <w:iCs w:val="1"/>
          <w:color w:val="auto"/>
        </w:rPr>
        <w:t>review of papers co-authored by our chief executive officer in connection with her doctoral research at Washington State University</w:t>
      </w:r>
      <w:r>
        <w:rPr>
          <w:rFonts w:ascii="Arial" w:cs="Arial" w:eastAsia="Arial" w:hAnsi="Arial"/>
          <w:sz w:val="18"/>
          <w:szCs w:val="18"/>
          <w:color w:val="auto"/>
        </w:rPr>
        <w:t>,” may</w:t>
      </w:r>
      <w:r>
        <w:rPr>
          <w:rFonts w:ascii="Arial" w:cs="Arial" w:eastAsia="Arial" w:hAnsi="Arial"/>
          <w:sz w:val="18"/>
          <w:szCs w:val="18"/>
          <w:i w:val="1"/>
          <w:iCs w:val="1"/>
          <w:color w:val="auto"/>
        </w:rPr>
        <w:t xml:space="preserve"> </w:t>
      </w:r>
      <w:r>
        <w:rPr>
          <w:rFonts w:ascii="Arial" w:cs="Arial" w:eastAsia="Arial" w:hAnsi="Arial"/>
          <w:sz w:val="18"/>
          <w:szCs w:val="18"/>
          <w:color w:val="auto"/>
        </w:rPr>
        <w:t>discourage potential counterparties from entering into relationships with us.</w:t>
      </w:r>
    </w:p>
    <w:p>
      <w:pPr>
        <w:spacing w:after="0" w:line="232"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46"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96" w:lineRule="exact"/>
        <w:rPr>
          <w:sz w:val="20"/>
          <w:szCs w:val="20"/>
          <w:color w:val="auto"/>
        </w:rPr>
      </w:pPr>
    </w:p>
    <w:p>
      <w:pPr>
        <w:ind w:left="1020" w:hanging="50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3" w:lineRule="exact"/>
        <w:rPr>
          <w:rFonts w:ascii="Arial" w:cs="Arial" w:eastAsia="Arial" w:hAnsi="Arial"/>
          <w:sz w:val="18"/>
          <w:szCs w:val="18"/>
          <w:color w:val="auto"/>
        </w:rPr>
      </w:pPr>
    </w:p>
    <w:p>
      <w:pPr>
        <w:jc w:val="both"/>
        <w:ind w:left="1020" w:hanging="505"/>
        <w:spacing w:after="0" w:line="23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95"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5"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4" w:name="page65"/>
    <w:bookmarkEnd w:id="64"/>
    <w:p>
      <w:pPr>
        <w:ind w:left="1020" w:hanging="505"/>
        <w:spacing w:after="0" w:line="239"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243"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10"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20"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96" w:lineRule="exact"/>
        <w:rPr>
          <w:sz w:val="20"/>
          <w:szCs w:val="20"/>
          <w:color w:val="auto"/>
        </w:rPr>
      </w:pPr>
    </w:p>
    <w:p>
      <w:pPr>
        <w:ind w:left="1020" w:hanging="505"/>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3" w:lineRule="exact"/>
        <w:rPr>
          <w:rFonts w:ascii="Arial" w:cs="Arial" w:eastAsia="Arial" w:hAnsi="Arial"/>
          <w:sz w:val="18"/>
          <w:szCs w:val="18"/>
          <w:color w:val="auto"/>
        </w:rPr>
      </w:pPr>
    </w:p>
    <w:p>
      <w:pPr>
        <w:ind w:left="1020" w:right="20" w:hanging="505"/>
        <w:spacing w:after="0" w:line="23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243" w:lineRule="exact"/>
        <w:rPr>
          <w:sz w:val="20"/>
          <w:szCs w:val="20"/>
          <w:color w:val="auto"/>
        </w:rPr>
      </w:pPr>
    </w:p>
    <w:p>
      <w:pPr>
        <w:jc w:val="both"/>
        <w:ind w:right="20" w:firstLine="510"/>
        <w:spacing w:after="0" w:line="239"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Ability to Commercialize our Product</w:t>
      </w:r>
    </w:p>
    <w:p>
      <w:pPr>
        <w:spacing w:after="0" w:line="24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220"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or reimbursement of any of our approved product candidates will depend on a number of factors, including:</w:t>
      </w:r>
    </w:p>
    <w:p>
      <w:pPr>
        <w:spacing w:after="0" w:line="96" w:lineRule="exact"/>
        <w:rPr>
          <w:sz w:val="20"/>
          <w:szCs w:val="20"/>
          <w:color w:val="auto"/>
        </w:rPr>
      </w:pPr>
    </w:p>
    <w:p>
      <w:pPr>
        <w:ind w:left="1020" w:hanging="50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extent of physician acceptance of FDA approved Alzheimer’s therapies;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65" w:name="page66"/>
    <w:bookmarkEnd w:id="65"/>
    <w:p>
      <w:pPr>
        <w:ind w:left="1020" w:hanging="505"/>
        <w:spacing w:after="0" w:line="239"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61"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 xml:space="preserve">If any of our product candidates are approved but do not achieve an adequate level of acceptance by physicians, hospitals, healthcare payors and patients, we may not generate or derive sufficient revenue from such product candidates and our financial </w:t>
      </w:r>
      <w:r>
        <w:rPr>
          <w:rFonts w:ascii="Arial" w:cs="Arial" w:eastAsia="Arial" w:hAnsi="Arial"/>
          <w:sz w:val="18"/>
          <w:szCs w:val="18"/>
          <w:color w:val="212529"/>
        </w:rPr>
        <w:t>results</w:t>
      </w:r>
      <w:r>
        <w:rPr>
          <w:rFonts w:ascii="Arial" w:cs="Arial" w:eastAsia="Arial" w:hAnsi="Arial"/>
          <w:sz w:val="18"/>
          <w:szCs w:val="18"/>
          <w:color w:val="auto"/>
        </w:rPr>
        <w:t xml:space="preserve"> could be negatively impacted.</w:t>
      </w:r>
    </w:p>
    <w:p>
      <w:pPr>
        <w:spacing w:after="0" w:line="207" w:lineRule="exact"/>
        <w:rPr>
          <w:sz w:val="20"/>
          <w:szCs w:val="20"/>
          <w:color w:val="auto"/>
        </w:rPr>
      </w:pPr>
    </w:p>
    <w:p>
      <w:pPr>
        <w:jc w:val="both"/>
        <w:ind w:right="20" w:firstLine="510"/>
        <w:spacing w:after="0" w:line="265"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2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 xml:space="preserve">We have never commercialized a product candidate. We may license certain rights with respect to our product candidates to collaborators, and, if so, we will rely on the assistance and guidance of those collaborators. For product candidates for </w:t>
      </w:r>
      <w:r>
        <w:rPr>
          <w:rFonts w:ascii="Arial" w:cs="Arial" w:eastAsia="Arial" w:hAnsi="Arial"/>
          <w:sz w:val="18"/>
          <w:szCs w:val="18"/>
          <w:color w:val="212529"/>
        </w:rPr>
        <w:t>which we retain</w:t>
      </w:r>
      <w:r>
        <w:rPr>
          <w:rFonts w:ascii="Arial" w:cs="Arial" w:eastAsia="Arial" w:hAnsi="Arial"/>
          <w:sz w:val="18"/>
          <w:szCs w:val="18"/>
          <w:color w:val="auto"/>
        </w:rPr>
        <w:t xml:space="preserve"> </w:t>
      </w:r>
      <w:r>
        <w:rPr>
          <w:rFonts w:ascii="Arial" w:cs="Arial" w:eastAsia="Arial" w:hAnsi="Arial"/>
          <w:sz w:val="18"/>
          <w:szCs w:val="18"/>
          <w:color w:val="212529"/>
        </w:rPr>
        <w:t>commercialization rights and marketing approval, we will have to develop our own sales, marketing and supply organization or outsource these activities to a third party.</w:t>
      </w:r>
    </w:p>
    <w:p>
      <w:pPr>
        <w:spacing w:after="0" w:line="242"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212529"/>
        </w:rPr>
        <w:t xml:space="preserve">Factors that may affect our ability to commercialize our product candidates, if approved, on our own include recruiting and retaining </w:t>
      </w:r>
      <w:r>
        <w:rPr>
          <w:rFonts w:ascii="Arial" w:cs="Arial" w:eastAsia="Arial" w:hAnsi="Arial"/>
          <w:sz w:val="18"/>
          <w:szCs w:val="18"/>
          <w:color w:val="000000"/>
        </w:rPr>
        <w:t>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09" w:lineRule="exact"/>
        <w:rPr>
          <w:sz w:val="20"/>
          <w:szCs w:val="20"/>
          <w:color w:val="auto"/>
        </w:rPr>
      </w:pPr>
    </w:p>
    <w:p>
      <w:pPr>
        <w:jc w:val="both"/>
        <w:ind w:right="20" w:firstLine="510"/>
        <w:spacing w:after="0" w:line="265"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220"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 xml:space="preserve">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w:t>
      </w:r>
      <w:r>
        <w:rPr>
          <w:rFonts w:ascii="Arial" w:cs="Arial" w:eastAsia="Arial" w:hAnsi="Arial"/>
          <w:sz w:val="18"/>
          <w:szCs w:val="18"/>
          <w:color w:val="212529"/>
        </w:rPr>
        <w:t>surveys</w:t>
      </w:r>
      <w:r>
        <w:rPr>
          <w:rFonts w:ascii="Arial" w:cs="Arial" w:eastAsia="Arial" w:hAnsi="Arial"/>
          <w:sz w:val="18"/>
          <w:szCs w:val="18"/>
          <w:color w:val="auto"/>
        </w:rPr>
        <w:t xml:space="preserve">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66" w:name="page67"/>
    <w:bookmarkEnd w:id="66"/>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07"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 xml:space="preserve">We face an inherent risk of product liability as a result of the planned clinical testing of our product candidates and will face an even greater risk if we commercialize any products. For example, we may be sued if our product candidates cause or </w:t>
      </w:r>
      <w:r>
        <w:rPr>
          <w:rFonts w:ascii="Arial" w:cs="Arial" w:eastAsia="Arial" w:hAnsi="Arial"/>
          <w:sz w:val="18"/>
          <w:szCs w:val="18"/>
          <w:color w:val="212529"/>
        </w:rPr>
        <w:t>are</w:t>
      </w:r>
      <w:r>
        <w:rPr>
          <w:rFonts w:ascii="Arial" w:cs="Arial" w:eastAsia="Arial" w:hAnsi="Arial"/>
          <w:sz w:val="18"/>
          <w:szCs w:val="18"/>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97" w:lineRule="exact"/>
        <w:rPr>
          <w:sz w:val="20"/>
          <w:szCs w:val="20"/>
          <w:color w:val="auto"/>
        </w:rPr>
      </w:pPr>
    </w:p>
    <w:p>
      <w:pPr>
        <w:ind w:left="1020" w:hanging="50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monetary awards to clinical trial participants or patients;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61"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 xml:space="preserve">Failure to obtain or retain sufficient product liability insurance at an acceptable cost to protect against potential product liability claims could prevent or inhibit the commercialization of products we develop, alone or with corporate </w:t>
      </w:r>
      <w:r>
        <w:rPr>
          <w:rFonts w:ascii="Arial" w:cs="Arial" w:eastAsia="Arial" w:hAnsi="Arial"/>
          <w:sz w:val="18"/>
          <w:szCs w:val="18"/>
          <w:color w:val="212529"/>
        </w:rPr>
        <w:t>collaborators</w:t>
      </w:r>
      <w:r>
        <w:rPr>
          <w:rFonts w:ascii="Arial" w:cs="Arial" w:eastAsia="Arial" w:hAnsi="Arial"/>
          <w:sz w:val="18"/>
          <w:szCs w:val="18"/>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24" w:lineRule="exact"/>
        <w:rPr>
          <w:sz w:val="20"/>
          <w:szCs w:val="20"/>
          <w:color w:val="auto"/>
        </w:rPr>
      </w:pPr>
    </w:p>
    <w:p>
      <w:pPr>
        <w:jc w:val="both"/>
        <w:ind w:firstLine="510"/>
        <w:spacing w:after="0" w:line="24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227"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cs="Arial" w:eastAsia="Arial" w:hAnsi="Arial"/>
          <w:sz w:val="18"/>
          <w:szCs w:val="18"/>
          <w:color w:val="212529"/>
        </w:rPr>
        <w:t>product</w:t>
      </w:r>
      <w:r>
        <w:rPr>
          <w:rFonts w:ascii="Arial" w:cs="Arial" w:eastAsia="Arial" w:hAnsi="Arial"/>
          <w:sz w:val="18"/>
          <w:szCs w:val="18"/>
          <w:color w:val="auto"/>
        </w:rPr>
        <w:t xml:space="preserve">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67" w:name="page68"/>
    <w:bookmarkEnd w:id="67"/>
    <w:p>
      <w:pPr>
        <w:jc w:val="both"/>
        <w:ind w:firstLine="510"/>
        <w:spacing w:after="0" w:line="233" w:lineRule="auto"/>
        <w:rPr>
          <w:sz w:val="20"/>
          <w:szCs w:val="20"/>
          <w:color w:val="auto"/>
        </w:rPr>
      </w:pPr>
      <w:r>
        <w:rPr>
          <w:rFonts w:ascii="Arial" w:cs="Arial" w:eastAsia="Arial" w:hAnsi="Arial"/>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w:t>
      </w:r>
      <w:r>
        <w:rPr>
          <w:rFonts w:ascii="Arial" w:cs="Arial" w:eastAsia="Arial" w:hAnsi="Arial"/>
          <w:sz w:val="18"/>
          <w:szCs w:val="18"/>
          <w:color w:val="212529"/>
        </w:rPr>
        <w:t>products</w:t>
      </w:r>
      <w:r>
        <w:rPr>
          <w:rFonts w:ascii="Arial" w:cs="Arial" w:eastAsia="Arial" w:hAnsi="Arial"/>
          <w:sz w:val="18"/>
          <w:szCs w:val="18"/>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102" w:lineRule="exact"/>
        <w:rPr>
          <w:sz w:val="20"/>
          <w:szCs w:val="20"/>
          <w:color w:val="auto"/>
        </w:rPr>
      </w:pPr>
    </w:p>
    <w:p>
      <w:pPr>
        <w:ind w:left="1020" w:hanging="50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48"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cs="Arial" w:eastAsia="Arial" w:hAnsi="Arial"/>
          <w:sz w:val="18"/>
          <w:szCs w:val="18"/>
          <w:color w:val="212529"/>
        </w:rPr>
        <w:t>prices</w:t>
      </w:r>
      <w:r>
        <w:rPr>
          <w:rFonts w:ascii="Arial" w:cs="Arial" w:eastAsia="Arial" w:hAnsi="Arial"/>
          <w:sz w:val="18"/>
          <w:szCs w:val="18"/>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46"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w:t>
      </w:r>
      <w:r>
        <w:rPr>
          <w:rFonts w:ascii="Arial" w:cs="Arial" w:eastAsia="Arial" w:hAnsi="Arial"/>
          <w:sz w:val="18"/>
          <w:szCs w:val="18"/>
          <w:color w:val="212529"/>
        </w:rPr>
        <w:t>results, our ability to raise capital</w:t>
      </w:r>
      <w:r>
        <w:rPr>
          <w:rFonts w:ascii="Arial" w:cs="Arial" w:eastAsia="Arial" w:hAnsi="Arial"/>
          <w:sz w:val="18"/>
          <w:szCs w:val="18"/>
          <w:color w:val="auto"/>
        </w:rPr>
        <w:t xml:space="preserve"> </w:t>
      </w:r>
      <w:r>
        <w:rPr>
          <w:rFonts w:ascii="Arial" w:cs="Arial" w:eastAsia="Arial" w:hAnsi="Arial"/>
          <w:sz w:val="18"/>
          <w:szCs w:val="18"/>
          <w:color w:val="212529"/>
        </w:rPr>
        <w:t>needed to commercialize product candidates, and our overall financial condition.</w:t>
      </w:r>
    </w:p>
    <w:p>
      <w:pPr>
        <w:spacing w:after="0" w:line="24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8" w:name="page69"/>
    <w:bookmarkEnd w:id="68"/>
    <w:p>
      <w:pPr>
        <w:jc w:val="both"/>
        <w:spacing w:after="0" w:line="239" w:lineRule="auto"/>
        <w:rPr>
          <w:sz w:val="20"/>
          <w:szCs w:val="20"/>
          <w:color w:val="auto"/>
        </w:rPr>
      </w:pPr>
      <w:r>
        <w:rPr>
          <w:rFonts w:ascii="Arial" w:cs="Arial" w:eastAsia="Arial" w:hAnsi="Arial"/>
          <w:sz w:val="18"/>
          <w:szCs w:val="18"/>
          <w:color w:val="212529"/>
        </w:rPr>
        <w:t>rates third-party payors for any approved products that we develop could have a material adverse effect on our operating results, our ability to raise capital needed to commercialize products and our overall financial condition.</w:t>
      </w:r>
    </w:p>
    <w:p>
      <w:pPr>
        <w:spacing w:after="0" w:line="23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212529"/>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Arial" w:cs="Arial" w:eastAsia="Arial" w:hAnsi="Arial"/>
          <w:sz w:val="18"/>
          <w:szCs w:val="18"/>
          <w:color w:val="000000"/>
        </w:rPr>
        <w:t>product candidate that we</w:t>
      </w:r>
      <w:r>
        <w:rPr>
          <w:rFonts w:ascii="Arial" w:cs="Arial" w:eastAsia="Arial" w:hAnsi="Arial"/>
          <w:sz w:val="18"/>
          <w:szCs w:val="18"/>
          <w:color w:val="212529"/>
        </w:rPr>
        <w:t xml:space="preserve"> </w:t>
      </w:r>
      <w:r>
        <w:rPr>
          <w:rFonts w:ascii="Arial" w:cs="Arial" w:eastAsia="Arial" w:hAnsi="Arial"/>
          <w:sz w:val="18"/>
          <w:szCs w:val="18"/>
          <w:color w:val="000000"/>
        </w:rPr>
        <w:t>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21"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220"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 xml:space="preserve">We plan to eventually seek regulatory approval of our product candidates outside of the United States and, accordingly, we </w:t>
      </w:r>
      <w:r>
        <w:rPr>
          <w:rFonts w:ascii="Arial" w:cs="Arial" w:eastAsia="Arial" w:hAnsi="Arial"/>
          <w:sz w:val="18"/>
          <w:szCs w:val="18"/>
          <w:color w:val="212529"/>
        </w:rPr>
        <w:t>expect</w:t>
      </w:r>
      <w:r>
        <w:rPr>
          <w:rFonts w:ascii="Arial" w:cs="Arial" w:eastAsia="Arial" w:hAnsi="Arial"/>
          <w:sz w:val="18"/>
          <w:szCs w:val="18"/>
          <w:color w:val="auto"/>
        </w:rPr>
        <w:t xml:space="preserve"> that we will be subject to additional risks related to operating in foreign countries if we obtain the necessary approvals, including:</w:t>
      </w:r>
    </w:p>
    <w:p>
      <w:pPr>
        <w:spacing w:after="0" w:line="96" w:lineRule="exact"/>
        <w:rPr>
          <w:sz w:val="20"/>
          <w:szCs w:val="20"/>
          <w:color w:val="auto"/>
        </w:rPr>
      </w:pPr>
    </w:p>
    <w:p>
      <w:pPr>
        <w:ind w:left="1020" w:hanging="505"/>
        <w:spacing w:after="0" w:line="239"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impact of the COVID-19 pandemic on our ability to produce our product candidates and conduct clinical trials in foreign countries;</w:t>
      </w:r>
    </w:p>
    <w:p>
      <w:pPr>
        <w:spacing w:after="0" w:line="125" w:lineRule="exact"/>
        <w:rPr>
          <w:rFonts w:ascii="Arial" w:cs="Arial" w:eastAsia="Arial" w:hAnsi="Arial"/>
          <w:sz w:val="17"/>
          <w:szCs w:val="17"/>
          <w:color w:val="auto"/>
        </w:rPr>
      </w:pPr>
    </w:p>
    <w:p>
      <w:pPr>
        <w:ind w:left="1020" w:hanging="50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9" w:name="page70"/>
    <w:bookmarkEnd w:id="69"/>
    <w:p>
      <w:pPr>
        <w:jc w:val="both"/>
        <w:ind w:firstLine="510"/>
        <w:spacing w:after="0" w:line="239" w:lineRule="auto"/>
        <w:rPr>
          <w:sz w:val="20"/>
          <w:szCs w:val="20"/>
          <w:color w:val="auto"/>
        </w:rPr>
      </w:pPr>
      <w:r>
        <w:rPr>
          <w:rFonts w:ascii="Arial" w:cs="Arial" w:eastAsia="Arial" w:hAnsi="Arial"/>
          <w:sz w:val="18"/>
          <w:szCs w:val="18"/>
          <w:color w:val="auto"/>
        </w:rPr>
        <w:t xml:space="preserve">These and other risks associated with international operations may materially adversely affect our ability to attain or maintain </w:t>
      </w:r>
      <w:r>
        <w:rPr>
          <w:rFonts w:ascii="Arial" w:cs="Arial" w:eastAsia="Arial" w:hAnsi="Arial"/>
          <w:sz w:val="18"/>
          <w:szCs w:val="18"/>
          <w:color w:val="212529"/>
        </w:rPr>
        <w:t>profitable</w:t>
      </w:r>
      <w:r>
        <w:rPr>
          <w:rFonts w:ascii="Arial" w:cs="Arial" w:eastAsia="Arial" w:hAnsi="Arial"/>
          <w:sz w:val="18"/>
          <w:szCs w:val="18"/>
          <w:color w:val="auto"/>
        </w:rPr>
        <w:t xml:space="preserve"> operations.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7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23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04"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24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As of June 30, 2021, our patent portfolio consists of approximately nine owned or in-licensed U.S. issued patents, two owned U.S. pending patent applications, 13 in-licensed patents issued in jurisdictions outside of the United States, eight owned or in-licensed pending patent applications in jurisdictions outside of the United States, and two owned pending international applications filed under the Patent Cooperation Treaty (the “PCT”). However, we cannot be certain that the claims in our U.S. pending patent applications, corresponding international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24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96" w:lineRule="exact"/>
        <w:rPr>
          <w:sz w:val="20"/>
          <w:szCs w:val="20"/>
          <w:color w:val="auto"/>
        </w:rPr>
      </w:pPr>
    </w:p>
    <w:p>
      <w:pPr>
        <w:jc w:val="both"/>
        <w:ind w:left="1020" w:hanging="505"/>
        <w:spacing w:after="0" w:line="23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95"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95"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5" w:lineRule="exact"/>
        <w:rPr>
          <w:rFonts w:ascii="Arial" w:cs="Arial" w:eastAsia="Arial" w:hAnsi="Arial"/>
          <w:sz w:val="18"/>
          <w:szCs w:val="18"/>
          <w:color w:val="auto"/>
        </w:rPr>
      </w:pPr>
    </w:p>
    <w:p>
      <w:pPr>
        <w:ind w:left="1020" w:right="20" w:hanging="505"/>
        <w:spacing w:after="0" w:line="239"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70" w:name="page71"/>
    <w:bookmarkEnd w:id="70"/>
    <w:p>
      <w:pPr>
        <w:jc w:val="both"/>
        <w:ind w:firstLine="510"/>
        <w:spacing w:after="0" w:line="236" w:lineRule="auto"/>
        <w:rPr>
          <w:sz w:val="20"/>
          <w:szCs w:val="20"/>
          <w:color w:val="auto"/>
        </w:rPr>
      </w:pPr>
      <w:r>
        <w:rPr>
          <w:rFonts w:ascii="Arial" w:cs="Arial" w:eastAsia="Arial" w:hAnsi="Arial"/>
          <w:sz w:val="18"/>
          <w:szCs w:val="18"/>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spacing w:after="0" w:line="229"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24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21" w:lineRule="exact"/>
        <w:rPr>
          <w:sz w:val="20"/>
          <w:szCs w:val="20"/>
          <w:color w:val="auto"/>
        </w:rPr>
      </w:pPr>
    </w:p>
    <w:p>
      <w:pPr>
        <w:jc w:val="both"/>
        <w:ind w:right="20" w:firstLine="510"/>
        <w:spacing w:after="0" w:line="265"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07"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product candidates or which effectively prevent others from commercializing competitive product candidates.</w:t>
      </w:r>
    </w:p>
    <w:p>
      <w:pPr>
        <w:spacing w:after="0" w:line="232"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product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244"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any current or future licensors may become subject to post-grant challenge proceedings, such as oppositions in a foreign patent office, that challenge our claim of priority of invention or other features of patentability with respect to our patents and patent applications and those of any current or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any current or future licensors is threatened, regardless of the outcome, it could dissuade companies from collaborating with us to license, develop, or commercialize current or future product candidates.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1" w:name="page72"/>
    <w:bookmarkEnd w:id="71"/>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56" w:lineRule="exact"/>
        <w:rPr>
          <w:sz w:val="20"/>
          <w:szCs w:val="20"/>
          <w:color w:val="auto"/>
        </w:rPr>
      </w:pPr>
    </w:p>
    <w:p>
      <w:pPr>
        <w:ind w:firstLine="510"/>
        <w:spacing w:after="0" w:line="23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96" w:lineRule="exact"/>
        <w:rPr>
          <w:sz w:val="20"/>
          <w:szCs w:val="20"/>
          <w:color w:val="auto"/>
        </w:rPr>
      </w:pPr>
    </w:p>
    <w:p>
      <w:pPr>
        <w:ind w:left="1020" w:hanging="505"/>
        <w:spacing w:after="0" w:line="239"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any current or future licensors or collaborators might not have been the first to make the inventions covered by the issued patents or patent application that we own or license;</w:t>
      </w:r>
    </w:p>
    <w:p>
      <w:pPr>
        <w:spacing w:after="0" w:line="95" w:lineRule="exact"/>
        <w:rPr>
          <w:rFonts w:ascii="Arial" w:cs="Arial" w:eastAsia="Arial" w:hAnsi="Arial"/>
          <w:sz w:val="18"/>
          <w:szCs w:val="18"/>
          <w:color w:val="auto"/>
        </w:rPr>
      </w:pPr>
    </w:p>
    <w:p>
      <w:pPr>
        <w:ind w:left="1020" w:right="20" w:hanging="505"/>
        <w:spacing w:after="0" w:line="239"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any current or future licensors or collaborators might not have been the first to file patent applications covering certain of our inventions;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2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22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42"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72" w:name="page73"/>
    <w:bookmarkEnd w:id="72"/>
    <w:p>
      <w:pPr>
        <w:jc w:val="both"/>
        <w:spacing w:after="0" w:line="237" w:lineRule="auto"/>
        <w:rPr>
          <w:sz w:val="20"/>
          <w:szCs w:val="20"/>
          <w:color w:val="auto"/>
        </w:rPr>
      </w:pPr>
      <w:r>
        <w:rPr>
          <w:rFonts w:ascii="Arial" w:cs="Arial" w:eastAsia="Arial" w:hAnsi="Arial"/>
          <w:sz w:val="18"/>
          <w:szCs w:val="18"/>
          <w:color w:val="auto"/>
        </w:rPr>
        <w:t>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96" w:lineRule="exact"/>
        <w:rPr>
          <w:sz w:val="20"/>
          <w:szCs w:val="20"/>
          <w:color w:val="auto"/>
        </w:rPr>
      </w:pPr>
    </w:p>
    <w:p>
      <w:pPr>
        <w:ind w:left="1020" w:hanging="505"/>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30"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250" w:lineRule="exact"/>
        <w:rPr>
          <w:sz w:val="20"/>
          <w:szCs w:val="20"/>
          <w:color w:val="auto"/>
        </w:rPr>
      </w:pPr>
    </w:p>
    <w:p>
      <w:pPr>
        <w:jc w:val="both"/>
        <w:ind w:firstLine="510"/>
        <w:spacing w:after="0" w:line="251"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13"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207"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3" w:name="page74"/>
    <w:bookmarkEnd w:id="73"/>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22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current or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243"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4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or any current or future licensors’ patent invalid. There is no assurance that all potentially relevant prior art relating to our patent and patent applications or the patent and patent applications of any current or future licensors has been found. There is also no assurance that there is not prior art of which we are aware, but which we do not believe affects the validity or enforceability of a claim in our patent and patent applications or the patent and patent applications of any current or future licensors, which may, nonetheless, ultimately be found to affect the validity or enforceability of a claim.</w:t>
      </w:r>
    </w:p>
    <w:p>
      <w:pPr>
        <w:spacing w:after="0" w:line="228"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 and patent applications of any current or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4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43"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74" w:name="page75"/>
    <w:bookmarkEnd w:id="74"/>
    <w:p>
      <w:pPr>
        <w:jc w:val="both"/>
        <w:ind w:firstLine="510"/>
        <w:spacing w:after="0" w:line="239"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0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22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22"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07"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current or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22"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234"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product candidates or (2) invent any of the inventions claimed in the patents or patent applications.</w:t>
      </w:r>
    </w:p>
    <w:p>
      <w:pPr>
        <w:spacing w:after="0" w:line="237"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4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current or future licensors and the enforcement or defense of our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5" w:name="page76"/>
    <w:bookmarkEnd w:id="75"/>
    <w:p>
      <w:pPr>
        <w:jc w:val="both"/>
        <w:spacing w:after="0" w:line="239" w:lineRule="auto"/>
        <w:rPr>
          <w:sz w:val="20"/>
          <w:szCs w:val="20"/>
          <w:color w:val="auto"/>
        </w:rPr>
      </w:pPr>
      <w:r>
        <w:rPr>
          <w:rFonts w:ascii="Arial" w:cs="Arial" w:eastAsia="Arial" w:hAnsi="Arial"/>
          <w:sz w:val="18"/>
          <w:szCs w:val="18"/>
          <w:color w:val="auto"/>
        </w:rPr>
        <w:t>issued patents or those of any current or future licensors, all of which could have a material adverse effect on our business, financial condition, results of operations and prospects.</w:t>
      </w:r>
    </w:p>
    <w:p>
      <w:pPr>
        <w:spacing w:after="0" w:line="20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2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4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7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w:t>
      </w:r>
    </w:p>
    <w:p>
      <w:pPr>
        <w:spacing w:after="0" w:line="234"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70"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6" w:name="page77"/>
    <w:bookmarkEnd w:id="76"/>
    <w:p>
      <w:pPr>
        <w:jc w:val="both"/>
        <w:spacing w:after="0" w:line="236" w:lineRule="auto"/>
        <w:rPr>
          <w:sz w:val="20"/>
          <w:szCs w:val="20"/>
          <w:color w:val="auto"/>
        </w:rPr>
      </w:pPr>
      <w:r>
        <w:rPr>
          <w:rFonts w:ascii="Arial" w:cs="Arial" w:eastAsia="Arial" w:hAnsi="Arial"/>
          <w:sz w:val="18"/>
          <w:szCs w:val="18"/>
          <w:color w:val="auto"/>
        </w:rPr>
        <w:t>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70"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We own or in-license approximately nine U.S. issued patents and own two U.S. pending patent applications, as well as 13 in-licensed patents issued in jurisdictions outside of the United States, one in-licensed pending patent application in jurisdictions outside of the United States, seven owned patent applications pending in jurisdictions outside of the United States, and two owned pending international applications filed under the PCT.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current or future licensors, or other intellectual property rights may not be effective or sufficient to prevent them from competing.</w:t>
      </w:r>
    </w:p>
    <w:p>
      <w:pPr>
        <w:spacing w:after="0" w:line="25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3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22" w:lineRule="exact"/>
        <w:rPr>
          <w:sz w:val="20"/>
          <w:szCs w:val="20"/>
          <w:color w:val="auto"/>
        </w:rPr>
      </w:pPr>
    </w:p>
    <w:p>
      <w:pPr>
        <w:jc w:val="both"/>
        <w:ind w:firstLine="514"/>
        <w:spacing w:after="0" w:line="24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234" w:lineRule="exact"/>
        <w:rPr>
          <w:sz w:val="20"/>
          <w:szCs w:val="20"/>
          <w:color w:val="auto"/>
        </w:rPr>
      </w:pPr>
    </w:p>
    <w:p>
      <w:pPr>
        <w:jc w:val="both"/>
        <w:ind w:firstLine="514"/>
        <w:spacing w:after="0" w:line="234"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7" w:name="page78"/>
    <w:bookmarkEnd w:id="77"/>
    <w:p>
      <w:pPr>
        <w:jc w:val="both"/>
        <w:ind w:firstLine="514"/>
        <w:spacing w:after="0" w:line="26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07"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17"/>
          <w:szCs w:val="17"/>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and/or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7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31"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22" w:lineRule="exact"/>
        <w:rPr>
          <w:sz w:val="20"/>
          <w:szCs w:val="20"/>
          <w:color w:val="auto"/>
        </w:rPr>
      </w:pPr>
    </w:p>
    <w:p>
      <w:pPr>
        <w:jc w:val="both"/>
        <w:ind w:right="20" w:firstLine="510"/>
        <w:spacing w:after="0" w:line="265"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22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29"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78" w:name="page79"/>
    <w:bookmarkEnd w:id="78"/>
    <w:p>
      <w:pPr>
        <w:jc w:val="both"/>
        <w:spacing w:after="0" w:line="239" w:lineRule="auto"/>
        <w:rPr>
          <w:sz w:val="20"/>
          <w:szCs w:val="20"/>
          <w:color w:val="auto"/>
        </w:rPr>
      </w:pPr>
      <w:r>
        <w:rPr>
          <w:rFonts w:ascii="Arial" w:cs="Arial" w:eastAsia="Arial" w:hAnsi="Arial"/>
          <w:sz w:val="18"/>
          <w:szCs w:val="18"/>
          <w:color w:val="auto"/>
        </w:rPr>
        <w:t>litigation could have material adverse effect on our ability to raise additional funds or otherwise have a material adverse effect on our business, operating results, financial condition and prospects.</w:t>
      </w:r>
    </w:p>
    <w:p>
      <w:pPr>
        <w:spacing w:after="0" w:line="20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22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22" w:lineRule="exact"/>
        <w:rPr>
          <w:sz w:val="20"/>
          <w:szCs w:val="20"/>
          <w:color w:val="auto"/>
        </w:rPr>
      </w:pPr>
    </w:p>
    <w:p>
      <w:pPr>
        <w:jc w:val="both"/>
        <w:ind w:right="20" w:firstLine="510"/>
        <w:spacing w:after="0" w:line="265"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20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242"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24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3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9" w:name="page80"/>
    <w:bookmarkEnd w:id="79"/>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20"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96" w:lineRule="exact"/>
        <w:rPr>
          <w:sz w:val="20"/>
          <w:szCs w:val="20"/>
          <w:color w:val="auto"/>
        </w:rPr>
      </w:pPr>
    </w:p>
    <w:p>
      <w:pPr>
        <w:ind w:left="1020" w:hanging="505"/>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61"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44"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27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80" w:name="page81"/>
    <w:bookmarkEnd w:id="80"/>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20"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Cybersecurity</w:t>
      </w:r>
    </w:p>
    <w:p>
      <w:pPr>
        <w:spacing w:after="0" w:line="248" w:lineRule="exact"/>
        <w:rPr>
          <w:sz w:val="20"/>
          <w:szCs w:val="20"/>
          <w:color w:val="auto"/>
        </w:rPr>
      </w:pPr>
    </w:p>
    <w:p>
      <w:pPr>
        <w:jc w:val="both"/>
        <w:ind w:firstLine="510"/>
        <w:spacing w:after="0" w:line="243"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227"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81" w:name="page82"/>
    <w:bookmarkEnd w:id="81"/>
    <w:p>
      <w:pPr>
        <w:jc w:val="both"/>
        <w:ind w:firstLine="510"/>
        <w:spacing w:after="0" w:line="248" w:lineRule="auto"/>
        <w:rPr>
          <w:sz w:val="20"/>
          <w:szCs w:val="20"/>
          <w:color w:val="auto"/>
        </w:rPr>
      </w:pPr>
      <w:r>
        <w:rPr>
          <w:rFonts w:ascii="Arial" w:cs="Arial" w:eastAsia="Arial" w:hAnsi="Arial"/>
          <w:sz w:val="17"/>
          <w:szCs w:val="17"/>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01"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20"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17"/>
          <w:szCs w:val="17"/>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July 2020 decision by the Court of Justice for the European Union that invalidated the EU-U.S. Privacy Shield. This may increase the complexity of transferring personal data across borders and may require us to review and amend our mechanisms relating to cross-border data transfer.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00" w:lineRule="exact"/>
        <w:rPr>
          <w:sz w:val="20"/>
          <w:szCs w:val="20"/>
          <w:color w:val="auto"/>
        </w:rPr>
      </w:pPr>
    </w:p>
    <w:p>
      <w:pPr>
        <w:spacing w:after="0" w:line="24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Further, the exit of the United Kingdom, or UK, from the EU, referred to as Brexit, has created uncertainty with regard to data protection regulation in the UK. Specifically, the UK exited the EU on January 1, 2020, subject to a transition period ending December 31, 2020. The UK has implemented legislation similar to the GDPR, referred to as the UK GDPR, which provides for fines of up to the greater of up to the greater of £17.5 million or 4% of global turnover. The relationship between the United Kingdom and the European Union in relation to certain aspects of data protection law remains unclear, however, including with respect to cross-border data transfers and the role of the UK Information Commissioner’s Office with respect to the EU, which exposes us to further compliance risk. We may incur liabilities, expenses, costs, and other operational losses under the UK GDPR, the GDPR and other privacy and data protection laws in the UK and the EU in connection with any measures we take to comply with them.</w:t>
      </w:r>
    </w:p>
    <w:p>
      <w:pPr>
        <w:spacing w:after="0" w:line="231"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2" w:name="page83"/>
    <w:bookmarkEnd w:id="82"/>
    <w:p>
      <w:pPr>
        <w:jc w:val="both"/>
        <w:spacing w:after="0" w:line="235" w:lineRule="auto"/>
        <w:rPr>
          <w:sz w:val="20"/>
          <w:szCs w:val="20"/>
          <w:color w:val="auto"/>
        </w:rPr>
      </w:pPr>
      <w:r>
        <w:rPr>
          <w:rFonts w:ascii="Arial" w:cs="Arial" w:eastAsia="Arial" w:hAnsi="Arial"/>
          <w:sz w:val="18"/>
          <w:szCs w:val="18"/>
          <w:color w:val="auto"/>
        </w:rPr>
        <w:t>The CCPA went into effect on January 1, 2020, and the California Attorney General commenced enforcement actions for violations on July 1, 2020. In November 2020, California passed the California Privacy Rights Act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may collect about California consumers. The CCPA and the CPRA, may impact our business activities and exemplifies the vulnerability of our business to the evolving regulatory environment related to personal data and protected health information.</w:t>
      </w:r>
    </w:p>
    <w:p>
      <w:pPr>
        <w:spacing w:after="0" w:line="228"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17"/>
          <w:szCs w:val="17"/>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4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We and certain of our directors and executive officers have been named as defendants in lawsuits that could result in substantial costs and divert management’s attention.</w:t>
      </w:r>
    </w:p>
    <w:p>
      <w:pPr>
        <w:spacing w:after="0" w:line="207"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As described elsewhere in this report in “Part II, Item I—Legal Proceedings,” we and certain of our executive officers and directors have been named as defendants in class action lawsuits that generally allege that we and certain of our officers and directors violated Sections 10(b) and/or 20(a) of the Exchange Act and Rule 10b-5 promulgated thereunder by making allegedly false and/or misleading statements and omitted material adverse facts regarding the Company’s business. These complaints seek unspecified compensatory and punitive damages, and reasonable costs and expenses, including attorneys’ fees. At this time, we are unable to predict the outcome of these matters.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22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will be sustained, and, as a result, it may be difficult for you to sell your shares of our common stock.</w:t>
      </w:r>
    </w:p>
    <w:p>
      <w:pPr>
        <w:spacing w:after="0" w:line="22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270"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96" w:lineRule="exact"/>
        <w:rPr>
          <w:sz w:val="20"/>
          <w:szCs w:val="20"/>
          <w:color w:val="auto"/>
        </w:rPr>
      </w:pPr>
    </w:p>
    <w:p>
      <w:pPr>
        <w:ind w:left="1020" w:hanging="505"/>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nonclinical studies and clinical trials and, in particular, our LIFT-AD and ACT-AD P300 clinical trials;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ongoing impact of the COVID-19 pandemic on our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3" w:name="page84"/>
    <w:bookmarkEnd w:id="83"/>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negative press coverage;</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status of ongoing litigation and potential commencement of additional litigation;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results of the investigation by the independent special committee of the board of directors;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other factors described in this “Part II, Item 1A—Risk Factors” section.</w:t>
      </w:r>
    </w:p>
    <w:p>
      <w:pPr>
        <w:spacing w:after="0" w:line="261"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10"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22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For example, on March 17, 2021, and April 20, 2021, certain lock-up agreements entered into in connection with our initial public offering and follow-on public offering expired, and as a result,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84" w:name="page85"/>
    <w:bookmarkEnd w:id="84"/>
    <w:p>
      <w:pPr>
        <w:jc w:val="both"/>
        <w:spacing w:after="0" w:line="235" w:lineRule="auto"/>
        <w:rPr>
          <w:sz w:val="20"/>
          <w:szCs w:val="20"/>
          <w:color w:val="auto"/>
        </w:rPr>
      </w:pPr>
      <w:r>
        <w:rPr>
          <w:rFonts w:ascii="Arial" w:cs="Arial" w:eastAsia="Arial" w:hAnsi="Arial"/>
          <w:sz w:val="18"/>
          <w:szCs w:val="18"/>
          <w:color w:val="auto"/>
        </w:rPr>
        <w:t>a significant portion of shares of our common stock became available for resale, which may have affected, and may continue to affect,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23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Moreover, as of June 30, 2021, the holders of approximately 5,043,650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20"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Our directors, executive officers and 5% stockholders own a significant percentage of our common stock, which could limit your ability to affect the outcome of key transactions, including a change of control.</w:t>
      </w:r>
    </w:p>
    <w:p>
      <w:pPr>
        <w:spacing w:after="0" w:line="22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directors, executive officers, holders of more than 5% of our outstanding common stock and their respective affiliates beneficially own shares representing approximately 28.1% of our outstanding common stock as of June 30, 2021.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0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20" w:lineRule="exact"/>
        <w:rPr>
          <w:sz w:val="20"/>
          <w:szCs w:val="20"/>
          <w:color w:val="auto"/>
        </w:rPr>
      </w:pPr>
    </w:p>
    <w:p>
      <w:pPr>
        <w:jc w:val="both"/>
        <w:ind w:firstLine="510"/>
        <w:spacing w:after="0" w:line="23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2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207"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We have never been required to test our internal controls within a specified period and, as a result, we may experience difficulty in meeting these reporting requirements in a timely manner.</w:t>
      </w:r>
    </w:p>
    <w:p>
      <w:pPr>
        <w:spacing w:after="0" w:line="242"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5" w:name="page86"/>
    <w:bookmarkEnd w:id="85"/>
    <w:p>
      <w:pPr>
        <w:jc w:val="both"/>
        <w:spacing w:after="0" w:line="249" w:lineRule="auto"/>
        <w:rPr>
          <w:sz w:val="20"/>
          <w:szCs w:val="20"/>
          <w:color w:val="auto"/>
        </w:rPr>
      </w:pPr>
      <w:r>
        <w:rPr>
          <w:rFonts w:ascii="Arial" w:cs="Arial" w:eastAsia="Arial" w:hAnsi="Arial"/>
          <w:sz w:val="17"/>
          <w:szCs w:val="17"/>
          <w:color w:val="auto"/>
        </w:rPr>
        <w:t>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2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20"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in September 2020 and follow-on public offering in January 2021 and may not use them effectively.</w:t>
      </w:r>
    </w:p>
    <w:p>
      <w:pPr>
        <w:spacing w:after="0" w:line="22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have broad discretion in the application of the net proceeds received from our initial public offering in September 2020 and follow-on public offering in January 2021. We may spend a portion or all of the net proceeds from our public offerings in ways that our stockholders may not desire or that may not yield a favorable return. Any failure by us to apply these funds effectively could harm our business, financial condition, results of operations and prospects. Pending their use, we may invest the net proceeds from our public offerings in a manner that does not produce income or that loses value.</w:t>
      </w:r>
    </w:p>
    <w:p>
      <w:pPr>
        <w:spacing w:after="0" w:line="20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22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95" w:lineRule="exact"/>
        <w:rPr>
          <w:sz w:val="20"/>
          <w:szCs w:val="20"/>
          <w:color w:val="auto"/>
        </w:rPr>
      </w:pPr>
    </w:p>
    <w:p>
      <w:pPr>
        <w:ind w:left="1020" w:hanging="505"/>
        <w:spacing w:after="0" w:line="239"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3" w:lineRule="exact"/>
        <w:rPr>
          <w:rFonts w:ascii="Arial" w:cs="Arial" w:eastAsia="Arial" w:hAnsi="Arial"/>
          <w:sz w:val="18"/>
          <w:szCs w:val="18"/>
          <w:color w:val="auto"/>
        </w:rPr>
      </w:pPr>
    </w:p>
    <w:p>
      <w:pPr>
        <w:ind w:left="1020" w:right="20" w:hanging="505"/>
        <w:spacing w:after="0" w:line="239"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95" w:lineRule="exact"/>
        <w:rPr>
          <w:rFonts w:ascii="Arial" w:cs="Arial" w:eastAsia="Arial" w:hAnsi="Arial"/>
          <w:sz w:val="18"/>
          <w:szCs w:val="18"/>
          <w:color w:val="auto"/>
        </w:rPr>
      </w:pPr>
    </w:p>
    <w:p>
      <w:pPr>
        <w:ind w:left="1020" w:hanging="505"/>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divide the board of directors into three classes;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3"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95"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95" w:lineRule="exact"/>
        <w:rPr>
          <w:rFonts w:ascii="Arial" w:cs="Arial" w:eastAsia="Arial" w:hAnsi="Arial"/>
          <w:sz w:val="18"/>
          <w:szCs w:val="18"/>
          <w:color w:val="auto"/>
        </w:rPr>
      </w:pPr>
    </w:p>
    <w:p>
      <w:pPr>
        <w:ind w:left="1020" w:hanging="505"/>
        <w:spacing w:after="0" w:line="239"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6" w:name="page87"/>
    <w:bookmarkEnd w:id="86"/>
    <w:p>
      <w:pPr>
        <w:ind w:left="1020" w:hanging="505"/>
        <w:spacing w:after="0" w:line="239"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95" w:lineRule="exact"/>
        <w:rPr>
          <w:rFonts w:ascii="Arial" w:cs="Arial" w:eastAsia="Arial" w:hAnsi="Arial"/>
          <w:sz w:val="18"/>
          <w:szCs w:val="18"/>
          <w:color w:val="auto"/>
        </w:rPr>
      </w:pPr>
    </w:p>
    <w:p>
      <w:pPr>
        <w:jc w:val="both"/>
        <w:ind w:left="1020" w:hanging="505"/>
        <w:spacing w:after="0" w:line="23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243"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1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234"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42"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Our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23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24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207"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18"/>
          <w:szCs w:val="18"/>
          <w:color w:val="000000"/>
        </w:rPr>
        <w:t>divergent</w:t>
      </w:r>
      <w:r>
        <w:rPr>
          <w:rFonts w:ascii="Arial" w:cs="Arial" w:eastAsia="Arial" w:hAnsi="Arial"/>
          <w:sz w:val="18"/>
          <w:szCs w:val="18"/>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87" w:name="page88"/>
    <w:bookmarkEnd w:id="87"/>
    <w:p>
      <w:pPr>
        <w:jc w:val="both"/>
        <w:spacing w:after="0" w:line="236" w:lineRule="auto"/>
        <w:rPr>
          <w:sz w:val="20"/>
          <w:szCs w:val="20"/>
          <w:color w:val="auto"/>
        </w:rPr>
      </w:pPr>
      <w:r>
        <w:rPr>
          <w:rFonts w:ascii="Arial" w:cs="Arial" w:eastAsia="Arial" w:hAnsi="Arial"/>
          <w:sz w:val="18"/>
          <w:szCs w:val="18"/>
          <w:color w:val="212529"/>
        </w:rPr>
        <w:t>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07"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 xml:space="preserve">If </w:t>
      </w:r>
      <w:r>
        <w:rPr>
          <w:rFonts w:ascii="Arial" w:cs="Arial" w:eastAsia="Arial" w:hAnsi="Arial"/>
          <w:sz w:val="18"/>
          <w:szCs w:val="18"/>
          <w:b w:val="1"/>
          <w:bCs w:val="1"/>
          <w:i w:val="1"/>
          <w:iCs w:val="1"/>
          <w:color w:val="212529"/>
        </w:rPr>
        <w:t>securities</w:t>
      </w:r>
      <w:r>
        <w:rPr>
          <w:rFonts w:ascii="Arial" w:cs="Arial" w:eastAsia="Arial" w:hAnsi="Arial"/>
          <w:sz w:val="18"/>
          <w:szCs w:val="18"/>
          <w:b w:val="1"/>
          <w:bCs w:val="1"/>
          <w:i w:val="1"/>
          <w:iCs w:val="1"/>
          <w:color w:val="auto"/>
        </w:rPr>
        <w:t xml:space="preserve"> analysts do not publish research or reports about our business or if they publish negative evaluations of our stock, the price of our stock could decline.</w:t>
      </w:r>
    </w:p>
    <w:p>
      <w:pPr>
        <w:spacing w:after="0" w:line="22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22"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207"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24"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220"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229"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4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27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On September 22, 2020, we closed our IPO, in which we sold and issued 12,000,000 shares of our common stock at a price to the public of $17.00 per share. On October 16, 2020, we sold and issued an additional 1,397,712 shares of common stock at $17.00 per share, less underwriting discounts and commissions, to the underwriters of our IPO following the partial exercise of their option to purchase additional shares of common stock.</w:t>
      </w:r>
    </w:p>
    <w:p>
      <w:pPr>
        <w:spacing w:after="0" w:line="242"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The offer and sale of all of the shares of our common stock in our IPO were registered under the Securities Act pursuant to a registration statement on Form S-1 (File No. 333-248428), which was declared effective by the SEC on September 17, 2020.</w:t>
      </w:r>
    </w:p>
    <w:p>
      <w:pPr>
        <w:spacing w:after="0" w:line="230"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There has been no material change in our planned use of the net proceeds from our IPO as described in our final prospectus filed pursuant to Rule 424(b)(4) under the Securities Act with the SEC on September 18, 2020</w:t>
      </w:r>
      <w:r>
        <w:rPr>
          <w:rFonts w:ascii="Arial" w:cs="Arial" w:eastAsia="Arial" w:hAnsi="Arial"/>
          <w:sz w:val="18"/>
          <w:szCs w:val="18"/>
          <w:color w:val="231F20"/>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0" w:lineRule="exact"/>
        <w:rPr>
          <w:sz w:val="20"/>
          <w:szCs w:val="20"/>
          <w:color w:val="auto"/>
        </w:rPr>
      </w:pPr>
    </w:p>
    <w:p>
      <w:pPr>
        <w:jc w:val="center"/>
        <w:ind w:right="9040"/>
        <w:spacing w:after="0"/>
        <w:rPr>
          <w:sz w:val="20"/>
          <w:szCs w:val="20"/>
          <w:color w:val="auto"/>
        </w:rPr>
      </w:pPr>
      <w:r>
        <w:rPr>
          <w:rFonts w:ascii="Arial" w:cs="Arial" w:eastAsia="Arial" w:hAnsi="Arial"/>
          <w:sz w:val="18"/>
          <w:szCs w:val="18"/>
          <w:color w:val="auto"/>
        </w:rPr>
        <w:t>Not applicable.</w:t>
      </w:r>
    </w:p>
    <w:p>
      <w:pPr>
        <w:spacing w:after="0" w:line="226" w:lineRule="exact"/>
        <w:rPr>
          <w:sz w:val="20"/>
          <w:szCs w:val="20"/>
          <w:color w:val="auto"/>
        </w:rPr>
      </w:pPr>
    </w:p>
    <w:p>
      <w:pPr>
        <w:jc w:val="center"/>
        <w:ind w:right="9060"/>
        <w:spacing w:after="0"/>
        <w:rPr>
          <w:sz w:val="20"/>
          <w:szCs w:val="20"/>
          <w:color w:val="auto"/>
        </w:rPr>
      </w:pPr>
      <w:r>
        <w:rPr>
          <w:rFonts w:ascii="Arial" w:cs="Arial" w:eastAsia="Arial" w:hAnsi="Arial"/>
          <w:sz w:val="17"/>
          <w:szCs w:val="17"/>
          <w:b w:val="1"/>
          <w:bCs w:val="1"/>
          <w:color w:val="auto"/>
        </w:rPr>
        <w:t>Item 5. Other Information.</w:t>
      </w: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6. Exhibits.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Incorporated by Reference</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06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40" w:type="dxa"/>
            <w:vAlign w:val="bottom"/>
            <w:gridSpan w:val="17"/>
          </w:tcPr>
          <w:p>
            <w:pPr>
              <w:ind w:left="1140"/>
              <w:spacing w:after="0"/>
              <w:rPr>
                <w:sz w:val="20"/>
                <w:szCs w:val="20"/>
                <w:color w:val="auto"/>
              </w:rPr>
            </w:pPr>
            <w:r>
              <w:rPr>
                <w:rFonts w:ascii="Arial" w:cs="Arial" w:eastAsia="Arial" w:hAnsi="Arial"/>
                <w:sz w:val="14"/>
                <w:szCs w:val="14"/>
                <w:b w:val="1"/>
                <w:bCs w:val="1"/>
                <w:color w:val="auto"/>
              </w:rPr>
              <w:t>Description</w:t>
            </w:r>
          </w:p>
        </w:tc>
        <w:tc>
          <w:tcPr>
            <w:tcW w:w="940" w:type="dxa"/>
            <w:vAlign w:val="bottom"/>
          </w:tcPr>
          <w:p>
            <w:pPr>
              <w:ind w:left="360"/>
              <w:spacing w:after="0"/>
              <w:rPr>
                <w:sz w:val="20"/>
                <w:szCs w:val="20"/>
                <w:color w:val="auto"/>
              </w:rPr>
            </w:pPr>
            <w:r>
              <w:rPr>
                <w:rFonts w:ascii="Arial" w:cs="Arial" w:eastAsia="Arial" w:hAnsi="Arial"/>
                <w:sz w:val="14"/>
                <w:szCs w:val="14"/>
                <w:b w:val="1"/>
                <w:bCs w:val="1"/>
                <w:color w:val="auto"/>
              </w:rPr>
              <w:t>Form</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File No.</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34"/>
        </w:trPr>
        <w:tc>
          <w:tcPr>
            <w:tcW w:w="98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6000" w:type="dxa"/>
            <w:vAlign w:val="bottom"/>
            <w:tcBorders>
              <w:top w:val="single" w:sz="8" w:color="auto"/>
            </w:tcBorders>
            <w:gridSpan w:val="20"/>
          </w:tcPr>
          <w:p>
            <w:pPr>
              <w:spacing w:after="0"/>
              <w:rPr>
                <w:rFonts w:ascii="Arial" w:cs="Arial" w:eastAsia="Arial" w:hAnsi="Arial"/>
                <w:sz w:val="18"/>
                <w:szCs w:val="18"/>
                <w:color w:val="0000EE"/>
              </w:rPr>
            </w:pPr>
            <w:hyperlink r:id="rId109">
              <w:r>
                <w:rPr>
                  <w:rFonts w:ascii="Arial" w:cs="Arial" w:eastAsia="Arial" w:hAnsi="Arial"/>
                  <w:sz w:val="18"/>
                  <w:szCs w:val="18"/>
                  <w:color w:val="0000EE"/>
                </w:rPr>
                <w:t>Amended and Restated Certificate of Incorporation of the Company</w:t>
              </w:r>
            </w:hyperlink>
          </w:p>
        </w:tc>
        <w:tc>
          <w:tcPr>
            <w:tcW w:w="9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10-Q</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001-39503</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November</w:t>
            </w:r>
          </w:p>
        </w:tc>
        <w:tc>
          <w:tcPr>
            <w:tcW w:w="0" w:type="dxa"/>
            <w:vAlign w:val="bottom"/>
          </w:tcPr>
          <w:p>
            <w:pPr>
              <w:spacing w:after="0"/>
              <w:rPr>
                <w:sz w:val="1"/>
                <w:szCs w:val="1"/>
                <w:color w:val="auto"/>
              </w:rPr>
            </w:pP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center"/>
              <w:spacing w:after="0" w:line="206" w:lineRule="exact"/>
              <w:rPr>
                <w:sz w:val="20"/>
                <w:szCs w:val="20"/>
                <w:color w:val="auto"/>
              </w:rPr>
            </w:pPr>
            <w:r>
              <w:rPr>
                <w:rFonts w:ascii="Arial" w:cs="Arial" w:eastAsia="Arial" w:hAnsi="Arial"/>
                <w:sz w:val="18"/>
                <w:szCs w:val="18"/>
                <w:color w:val="auto"/>
                <w:w w:val="96"/>
              </w:rPr>
              <w:t>12, 2020</w:t>
            </w:r>
          </w:p>
        </w:tc>
        <w:tc>
          <w:tcPr>
            <w:tcW w:w="0" w:type="dxa"/>
            <w:vAlign w:val="bottom"/>
          </w:tcPr>
          <w:p>
            <w:pPr>
              <w:spacing w:after="0"/>
              <w:rPr>
                <w:sz w:val="1"/>
                <w:szCs w:val="1"/>
                <w:color w:val="auto"/>
              </w:rPr>
            </w:pPr>
          </w:p>
        </w:tc>
      </w:tr>
      <w:tr>
        <w:trPr>
          <w:trHeight w:val="269"/>
        </w:trPr>
        <w:tc>
          <w:tcPr>
            <w:tcW w:w="980" w:type="dxa"/>
            <w:vAlign w:val="bottom"/>
          </w:tcPr>
          <w:p>
            <w:pPr>
              <w:jc w:val="right"/>
              <w:ind w:right="534"/>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3"/>
                <w:szCs w:val="23"/>
                <w:color w:val="auto"/>
              </w:rPr>
            </w:pPr>
          </w:p>
        </w:tc>
        <w:tc>
          <w:tcPr>
            <w:tcW w:w="6000" w:type="dxa"/>
            <w:vAlign w:val="bottom"/>
            <w:gridSpan w:val="20"/>
          </w:tcPr>
          <w:p>
            <w:pPr>
              <w:spacing w:after="0"/>
              <w:rPr>
                <w:rFonts w:ascii="Arial" w:cs="Arial" w:eastAsia="Arial" w:hAnsi="Arial"/>
                <w:sz w:val="18"/>
                <w:szCs w:val="18"/>
                <w:color w:val="0000EE"/>
              </w:rPr>
            </w:pPr>
            <w:hyperlink r:id="rId110">
              <w:r>
                <w:rPr>
                  <w:rFonts w:ascii="Arial" w:cs="Arial" w:eastAsia="Arial" w:hAnsi="Arial"/>
                  <w:sz w:val="18"/>
                  <w:szCs w:val="18"/>
                  <w:color w:val="0000EE"/>
                </w:rPr>
                <w:t>Amended and Restated Bylaws of the Company</w:t>
              </w:r>
            </w:hyperlink>
          </w:p>
        </w:tc>
        <w:tc>
          <w:tcPr>
            <w:tcW w:w="940" w:type="dxa"/>
            <w:vAlign w:val="bottom"/>
          </w:tcPr>
          <w:p>
            <w:pPr>
              <w:ind w:left="340"/>
              <w:spacing w:after="0"/>
              <w:rPr>
                <w:sz w:val="20"/>
                <w:szCs w:val="20"/>
                <w:color w:val="auto"/>
              </w:rPr>
            </w:pPr>
            <w:r>
              <w:rPr>
                <w:rFonts w:ascii="Arial" w:cs="Arial" w:eastAsia="Arial" w:hAnsi="Arial"/>
                <w:sz w:val="18"/>
                <w:szCs w:val="18"/>
                <w:color w:val="auto"/>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60" w:type="dxa"/>
            <w:vAlign w:val="bottom"/>
          </w:tcPr>
          <w:p>
            <w:pPr>
              <w:jc w:val="center"/>
              <w:spacing w:after="0"/>
              <w:rPr>
                <w:sz w:val="20"/>
                <w:szCs w:val="20"/>
                <w:color w:val="auto"/>
              </w:rPr>
            </w:pPr>
            <w:r>
              <w:rPr>
                <w:rFonts w:ascii="Arial" w:cs="Arial" w:eastAsia="Arial" w:hAnsi="Arial"/>
                <w:sz w:val="18"/>
                <w:szCs w:val="18"/>
                <w:color w:val="auto"/>
              </w:rPr>
              <w:t>November</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6"/>
              </w:rPr>
              <w:t>12, 2020</w:t>
            </w:r>
          </w:p>
        </w:tc>
        <w:tc>
          <w:tcPr>
            <w:tcW w:w="0" w:type="dxa"/>
            <w:vAlign w:val="bottom"/>
          </w:tcPr>
          <w:p>
            <w:pPr>
              <w:spacing w:after="0" w:line="20" w:lineRule="exact"/>
              <w:rPr>
                <w:sz w:val="1"/>
                <w:szCs w:val="1"/>
                <w:color w:val="auto"/>
              </w:rPr>
            </w:pPr>
          </w:p>
        </w:tc>
      </w:tr>
      <w:tr>
        <w:trPr>
          <w:trHeight w:val="206"/>
        </w:trPr>
        <w:tc>
          <w:tcPr>
            <w:tcW w:w="980" w:type="dxa"/>
            <w:vAlign w:val="bottom"/>
            <w:vMerge w:val="restart"/>
          </w:tcPr>
          <w:p>
            <w:pPr>
              <w:jc w:val="right"/>
              <w:ind w:right="434"/>
              <w:spacing w:after="0"/>
              <w:rPr>
                <w:sz w:val="20"/>
                <w:szCs w:val="20"/>
                <w:color w:val="auto"/>
              </w:rPr>
            </w:pPr>
            <w:r>
              <w:rPr>
                <w:rFonts w:ascii="Arial" w:cs="Arial" w:eastAsia="Arial" w:hAnsi="Arial"/>
                <w:sz w:val="18"/>
                <w:szCs w:val="18"/>
                <w:color w:val="auto"/>
                <w:w w:val="96"/>
              </w:rPr>
              <w:t>10.1+</w:t>
            </w:r>
          </w:p>
        </w:tc>
        <w:tc>
          <w:tcPr>
            <w:tcW w:w="80" w:type="dxa"/>
            <w:vAlign w:val="bottom"/>
          </w:tcPr>
          <w:p>
            <w:pPr>
              <w:spacing w:after="0"/>
              <w:rPr>
                <w:sz w:val="17"/>
                <w:szCs w:val="17"/>
                <w:color w:val="auto"/>
              </w:rPr>
            </w:pPr>
          </w:p>
        </w:tc>
        <w:tc>
          <w:tcPr>
            <w:tcW w:w="4580" w:type="dxa"/>
            <w:vAlign w:val="bottom"/>
            <w:gridSpan w:val="7"/>
            <w:vMerge w:val="restart"/>
          </w:tcPr>
          <w:p>
            <w:pPr>
              <w:spacing w:after="0"/>
              <w:rPr>
                <w:rFonts w:ascii="Arial" w:cs="Arial" w:eastAsia="Arial" w:hAnsi="Arial"/>
                <w:sz w:val="18"/>
                <w:szCs w:val="18"/>
                <w:color w:val="0000EE"/>
                <w:w w:val="98"/>
              </w:rPr>
            </w:pPr>
            <w:hyperlink w:anchor="page92">
              <w:r>
                <w:rPr>
                  <w:rFonts w:ascii="Arial" w:cs="Arial" w:eastAsia="Arial" w:hAnsi="Arial"/>
                  <w:sz w:val="18"/>
                  <w:szCs w:val="18"/>
                  <w:color w:val="0000EE"/>
                  <w:w w:val="98"/>
                </w:rPr>
                <w:t>Offer Letter between the Registrant and Rachel Lenington</w:t>
              </w:r>
            </w:hyperlink>
          </w:p>
        </w:tc>
        <w:tc>
          <w:tcPr>
            <w:tcW w:w="1420" w:type="dxa"/>
            <w:vAlign w:val="bottom"/>
            <w:gridSpan w:val="13"/>
            <w:vMerge w:val="restart"/>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9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580" w:type="dxa"/>
            <w:vAlign w:val="bottom"/>
            <w:tcBorders>
              <w:bottom w:val="single" w:sz="8" w:color="0000EE"/>
            </w:tcBorders>
            <w:gridSpan w:val="7"/>
            <w:vMerge w:val="continue"/>
          </w:tcPr>
          <w:p>
            <w:pPr>
              <w:spacing w:after="0"/>
              <w:rPr>
                <w:sz w:val="23"/>
                <w:szCs w:val="23"/>
                <w:color w:val="auto"/>
              </w:rPr>
            </w:pPr>
          </w:p>
        </w:tc>
        <w:tc>
          <w:tcPr>
            <w:tcW w:w="1420" w:type="dxa"/>
            <w:vAlign w:val="bottom"/>
            <w:gridSpan w:val="13"/>
            <w:vMerge w:val="continue"/>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980" w:type="dxa"/>
            <w:vAlign w:val="bottom"/>
          </w:tcPr>
          <w:p>
            <w:pPr>
              <w:jc w:val="right"/>
              <w:ind w:right="434"/>
              <w:spacing w:after="0"/>
              <w:rPr>
                <w:sz w:val="20"/>
                <w:szCs w:val="20"/>
                <w:color w:val="auto"/>
              </w:rPr>
            </w:pPr>
            <w:r>
              <w:rPr>
                <w:rFonts w:ascii="Arial" w:cs="Arial" w:eastAsia="Arial" w:hAnsi="Arial"/>
                <w:sz w:val="18"/>
                <w:szCs w:val="18"/>
                <w:color w:val="auto"/>
                <w:w w:val="96"/>
              </w:rPr>
              <w:t>10.2+</w:t>
            </w:r>
          </w:p>
        </w:tc>
        <w:tc>
          <w:tcPr>
            <w:tcW w:w="80" w:type="dxa"/>
            <w:vAlign w:val="bottom"/>
          </w:tcPr>
          <w:p>
            <w:pPr>
              <w:spacing w:after="0"/>
              <w:rPr>
                <w:sz w:val="24"/>
                <w:szCs w:val="24"/>
                <w:color w:val="auto"/>
              </w:rPr>
            </w:pPr>
          </w:p>
        </w:tc>
        <w:tc>
          <w:tcPr>
            <w:tcW w:w="6000" w:type="dxa"/>
            <w:vAlign w:val="bottom"/>
            <w:gridSpan w:val="2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Change in Control and Severance Agreement between the Registrant and</w:t>
              </w:r>
            </w:hyperlink>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2"/>
          </w:tcPr>
          <w:p>
            <w:pPr>
              <w:spacing w:after="0" w:line="181" w:lineRule="exact"/>
              <w:rPr>
                <w:rFonts w:ascii="Arial" w:cs="Arial" w:eastAsia="Arial" w:hAnsi="Arial"/>
                <w:sz w:val="18"/>
                <w:szCs w:val="18"/>
                <w:color w:val="0000EE"/>
                <w:w w:val="98"/>
              </w:rPr>
            </w:pPr>
            <w:hyperlink w:anchor="page99">
              <w:r>
                <w:rPr>
                  <w:rFonts w:ascii="Arial" w:cs="Arial" w:eastAsia="Arial" w:hAnsi="Arial"/>
                  <w:sz w:val="18"/>
                  <w:szCs w:val="18"/>
                  <w:color w:val="0000EE"/>
                  <w:w w:val="98"/>
                </w:rPr>
                <w:t>Rachel Lenington</w:t>
              </w:r>
            </w:hyperlink>
          </w:p>
        </w:tc>
        <w:tc>
          <w:tcPr>
            <w:tcW w:w="4440" w:type="dxa"/>
            <w:vAlign w:val="bottom"/>
            <w:tcBorders>
              <w:top w:val="single" w:sz="8" w:color="0000EE"/>
            </w:tcBorders>
            <w:gridSpan w:val="12"/>
          </w:tcPr>
          <w:p>
            <w:pPr>
              <w:spacing w:after="0"/>
              <w:rPr>
                <w:sz w:val="15"/>
                <w:szCs w:val="15"/>
                <w:color w:val="auto"/>
              </w:rPr>
            </w:pPr>
          </w:p>
        </w:tc>
        <w:tc>
          <w:tcPr>
            <w:tcW w:w="160" w:type="dxa"/>
            <w:vAlign w:val="bottom"/>
            <w:gridSpan w:val="6"/>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980" w:type="dxa"/>
            <w:vAlign w:val="bottom"/>
          </w:tcPr>
          <w:p>
            <w:pPr>
              <w:jc w:val="right"/>
              <w:ind w:right="434"/>
              <w:spacing w:after="0"/>
              <w:rPr>
                <w:sz w:val="20"/>
                <w:szCs w:val="20"/>
                <w:color w:val="auto"/>
              </w:rPr>
            </w:pPr>
            <w:r>
              <w:rPr>
                <w:rFonts w:ascii="Arial" w:cs="Arial" w:eastAsia="Arial" w:hAnsi="Arial"/>
                <w:sz w:val="18"/>
                <w:szCs w:val="18"/>
                <w:color w:val="auto"/>
                <w:w w:val="96"/>
              </w:rPr>
              <w:t>10.3+</w:t>
            </w:r>
          </w:p>
        </w:tc>
        <w:tc>
          <w:tcPr>
            <w:tcW w:w="80" w:type="dxa"/>
            <w:vAlign w:val="bottom"/>
          </w:tcPr>
          <w:p>
            <w:pPr>
              <w:spacing w:after="0"/>
              <w:rPr>
                <w:sz w:val="24"/>
                <w:szCs w:val="24"/>
                <w:color w:val="auto"/>
              </w:rPr>
            </w:pPr>
          </w:p>
        </w:tc>
        <w:tc>
          <w:tcPr>
            <w:tcW w:w="6000" w:type="dxa"/>
            <w:vAlign w:val="bottom"/>
            <w:gridSpan w:val="20"/>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Offer Letter between the Registrant and Mark Worthington</w:t>
              </w:r>
            </w:hyperlink>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980" w:type="dxa"/>
            <w:vAlign w:val="bottom"/>
          </w:tcPr>
          <w:p>
            <w:pPr>
              <w:jc w:val="right"/>
              <w:ind w:right="434"/>
              <w:spacing w:after="0"/>
              <w:rPr>
                <w:sz w:val="20"/>
                <w:szCs w:val="20"/>
                <w:color w:val="auto"/>
              </w:rPr>
            </w:pPr>
            <w:r>
              <w:rPr>
                <w:rFonts w:ascii="Arial" w:cs="Arial" w:eastAsia="Arial" w:hAnsi="Arial"/>
                <w:sz w:val="18"/>
                <w:szCs w:val="18"/>
                <w:color w:val="auto"/>
                <w:w w:val="96"/>
              </w:rPr>
              <w:t>10.4+</w:t>
            </w:r>
          </w:p>
        </w:tc>
        <w:tc>
          <w:tcPr>
            <w:tcW w:w="80" w:type="dxa"/>
            <w:vAlign w:val="bottom"/>
          </w:tcPr>
          <w:p>
            <w:pPr>
              <w:spacing w:after="0"/>
              <w:rPr>
                <w:sz w:val="24"/>
                <w:szCs w:val="24"/>
                <w:color w:val="auto"/>
              </w:rPr>
            </w:pPr>
          </w:p>
        </w:tc>
        <w:tc>
          <w:tcPr>
            <w:tcW w:w="6000" w:type="dxa"/>
            <w:vAlign w:val="bottom"/>
            <w:gridSpan w:val="20"/>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Change in Control and Severance Agreement between the Registrant and</w:t>
              </w:r>
            </w:hyperlink>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3"/>
          </w:tcPr>
          <w:p>
            <w:pPr>
              <w:spacing w:after="0" w:line="181" w:lineRule="exact"/>
              <w:rPr>
                <w:rFonts w:ascii="Arial" w:cs="Arial" w:eastAsia="Arial" w:hAnsi="Arial"/>
                <w:sz w:val="18"/>
                <w:szCs w:val="18"/>
                <w:color w:val="0000EE"/>
                <w:w w:val="99"/>
              </w:rPr>
            </w:pPr>
            <w:hyperlink w:anchor="page118">
              <w:r>
                <w:rPr>
                  <w:rFonts w:ascii="Arial" w:cs="Arial" w:eastAsia="Arial" w:hAnsi="Arial"/>
                  <w:sz w:val="18"/>
                  <w:szCs w:val="18"/>
                  <w:color w:val="0000EE"/>
                  <w:w w:val="99"/>
                </w:rPr>
                <w:t>Mark Worthington</w:t>
              </w:r>
            </w:hyperlink>
          </w:p>
        </w:tc>
        <w:tc>
          <w:tcPr>
            <w:tcW w:w="4380" w:type="dxa"/>
            <w:vAlign w:val="bottom"/>
            <w:tcBorders>
              <w:top w:val="single" w:sz="8" w:color="0000EE"/>
            </w:tcBorders>
            <w:gridSpan w:val="11"/>
          </w:tcPr>
          <w:p>
            <w:pPr>
              <w:spacing w:after="0"/>
              <w:rPr>
                <w:sz w:val="15"/>
                <w:szCs w:val="15"/>
                <w:color w:val="auto"/>
              </w:rPr>
            </w:pPr>
          </w:p>
        </w:tc>
        <w:tc>
          <w:tcPr>
            <w:tcW w:w="160" w:type="dxa"/>
            <w:vAlign w:val="bottom"/>
            <w:gridSpan w:val="6"/>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980" w:type="dxa"/>
            <w:vAlign w:val="bottom"/>
          </w:tcPr>
          <w:p>
            <w:pPr>
              <w:jc w:val="right"/>
              <w:ind w:right="534"/>
              <w:spacing w:after="0"/>
              <w:rPr>
                <w:sz w:val="20"/>
                <w:szCs w:val="20"/>
                <w:color w:val="auto"/>
              </w:rPr>
            </w:pPr>
            <w:r>
              <w:rPr>
                <w:rFonts w:ascii="Arial" w:cs="Arial" w:eastAsia="Arial" w:hAnsi="Arial"/>
                <w:sz w:val="18"/>
                <w:szCs w:val="18"/>
                <w:color w:val="auto"/>
                <w:w w:val="96"/>
              </w:rPr>
              <w:t>10.5</w:t>
            </w:r>
          </w:p>
        </w:tc>
        <w:tc>
          <w:tcPr>
            <w:tcW w:w="80" w:type="dxa"/>
            <w:vAlign w:val="bottom"/>
          </w:tcPr>
          <w:p>
            <w:pPr>
              <w:spacing w:after="0"/>
              <w:rPr>
                <w:sz w:val="24"/>
                <w:szCs w:val="24"/>
                <w:color w:val="auto"/>
              </w:rPr>
            </w:pPr>
          </w:p>
        </w:tc>
        <w:tc>
          <w:tcPr>
            <w:tcW w:w="564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130">
              <w:r>
                <w:rPr>
                  <w:rFonts w:ascii="Arial" w:cs="Arial" w:eastAsia="Arial" w:hAnsi="Arial"/>
                  <w:sz w:val="18"/>
                  <w:szCs w:val="18"/>
                  <w:color w:val="0000EE"/>
                  <w:w w:val="98"/>
                </w:rPr>
                <w:t>First Amendment to Lease by and between the Registrant and Nitrogen</w:t>
              </w:r>
            </w:hyperlink>
          </w:p>
        </w:tc>
        <w:tc>
          <w:tcPr>
            <w:tcW w:w="360" w:type="dxa"/>
            <w:vAlign w:val="bottom"/>
            <w:gridSpan w:val="10"/>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20" w:type="dxa"/>
            <w:vAlign w:val="bottom"/>
            <w:tcBorders>
              <w:bottom w:val="single" w:sz="8" w:color="0000EE"/>
            </w:tcBorders>
            <w:gridSpan w:val="16"/>
          </w:tcPr>
          <w:p>
            <w:pPr>
              <w:spacing w:after="0" w:line="181" w:lineRule="exact"/>
              <w:rPr>
                <w:rFonts w:ascii="Arial" w:cs="Arial" w:eastAsia="Arial" w:hAnsi="Arial"/>
                <w:sz w:val="18"/>
                <w:szCs w:val="18"/>
                <w:color w:val="0000EE"/>
                <w:w w:val="98"/>
              </w:rPr>
            </w:pPr>
            <w:hyperlink w:anchor="page130">
              <w:r>
                <w:rPr>
                  <w:rFonts w:ascii="Arial" w:cs="Arial" w:eastAsia="Arial" w:hAnsi="Arial"/>
                  <w:sz w:val="18"/>
                  <w:szCs w:val="18"/>
                  <w:color w:val="0000EE"/>
                  <w:w w:val="98"/>
                </w:rPr>
                <w:t>Propco 2020, L.P., as successor-in-interest to North Creek Parkway Center</w:t>
              </w:r>
            </w:hyperlink>
          </w:p>
        </w:tc>
        <w:tc>
          <w:tcPr>
            <w:tcW w:w="8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0" w:type="dxa"/>
            <w:vAlign w:val="bottom"/>
            <w:gridSpan w:val="20"/>
          </w:tcPr>
          <w:p>
            <w:pPr>
              <w:spacing w:after="0" w:line="181" w:lineRule="exact"/>
              <w:rPr>
                <w:rFonts w:ascii="Arial" w:cs="Arial" w:eastAsia="Arial" w:hAnsi="Arial"/>
                <w:sz w:val="18"/>
                <w:szCs w:val="18"/>
                <w:color w:val="0000EE"/>
              </w:rPr>
            </w:pPr>
            <w:hyperlink w:anchor="page130">
              <w:r>
                <w:rPr>
                  <w:rFonts w:ascii="Arial" w:cs="Arial" w:eastAsia="Arial" w:hAnsi="Arial"/>
                  <w:sz w:val="18"/>
                  <w:szCs w:val="18"/>
                  <w:color w:val="0000EE"/>
                </w:rPr>
                <w:t>Investors, L.P., dated June 28, 2021</w:t>
              </w:r>
            </w:hyperlink>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980" w:type="dxa"/>
            <w:vAlign w:val="bottom"/>
          </w:tcPr>
          <w:p>
            <w:pPr>
              <w:jc w:val="right"/>
              <w:ind w:right="434"/>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6000" w:type="dxa"/>
            <w:vAlign w:val="bottom"/>
            <w:gridSpan w:val="20"/>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Certification of Principal Executive Officer Pursuant to Rules 13a-14(a) and</w:t>
              </w:r>
            </w:hyperlink>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80" w:type="dxa"/>
            <w:vAlign w:val="bottom"/>
            <w:tcBorders>
              <w:bottom w:val="single" w:sz="8" w:color="0000EE"/>
            </w:tcBorders>
            <w:gridSpan w:val="19"/>
          </w:tcPr>
          <w:p>
            <w:pPr>
              <w:spacing w:after="0" w:line="181" w:lineRule="exact"/>
              <w:rPr>
                <w:rFonts w:ascii="Arial" w:cs="Arial" w:eastAsia="Arial" w:hAnsi="Arial"/>
                <w:sz w:val="18"/>
                <w:szCs w:val="18"/>
                <w:color w:val="0000EE"/>
                <w:w w:val="98"/>
              </w:rPr>
            </w:pPr>
            <w:hyperlink w:anchor="page135">
              <w:r>
                <w:rPr>
                  <w:rFonts w:ascii="Arial" w:cs="Arial" w:eastAsia="Arial" w:hAnsi="Arial"/>
                  <w:sz w:val="18"/>
                  <w:szCs w:val="18"/>
                  <w:color w:val="0000EE"/>
                  <w:w w:val="98"/>
                </w:rPr>
                <w:t>15d-14(a) under the Securities Exchange Act of 1934, as Adopted Pursuant</w:t>
              </w:r>
            </w:hyperlink>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tcBorders>
              <w:bottom w:val="single" w:sz="8" w:color="0000EE"/>
            </w:tcBorders>
            <w:gridSpan w:val="6"/>
          </w:tcPr>
          <w:p>
            <w:pPr>
              <w:spacing w:after="0" w:line="181" w:lineRule="exact"/>
              <w:rPr>
                <w:rFonts w:ascii="Arial" w:cs="Arial" w:eastAsia="Arial" w:hAnsi="Arial"/>
                <w:sz w:val="18"/>
                <w:szCs w:val="18"/>
                <w:color w:val="0000EE"/>
                <w:w w:val="98"/>
              </w:rPr>
            </w:pPr>
            <w:hyperlink w:anchor="page135">
              <w:r>
                <w:rPr>
                  <w:rFonts w:ascii="Arial" w:cs="Arial" w:eastAsia="Arial" w:hAnsi="Arial"/>
                  <w:sz w:val="18"/>
                  <w:szCs w:val="18"/>
                  <w:color w:val="0000EE"/>
                  <w:w w:val="98"/>
                </w:rPr>
                <w:t>to Section 302 of the Sarbanes-Oxley Act of 2002.</w:t>
              </w:r>
            </w:hyperlink>
          </w:p>
        </w:tc>
        <w:tc>
          <w:tcPr>
            <w:tcW w:w="2020" w:type="dxa"/>
            <w:vAlign w:val="bottom"/>
            <w:gridSpan w:val="14"/>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980" w:type="dxa"/>
            <w:vAlign w:val="bottom"/>
          </w:tcPr>
          <w:p>
            <w:pPr>
              <w:jc w:val="right"/>
              <w:ind w:right="434"/>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5960" w:type="dxa"/>
            <w:vAlign w:val="bottom"/>
            <w:tcBorders>
              <w:bottom w:val="single" w:sz="8" w:color="0000EE"/>
            </w:tcBorders>
            <w:gridSpan w:val="18"/>
          </w:tcPr>
          <w:p>
            <w:pPr>
              <w:spacing w:after="0"/>
              <w:rPr>
                <w:rFonts w:ascii="Arial" w:cs="Arial" w:eastAsia="Arial" w:hAnsi="Arial"/>
                <w:sz w:val="18"/>
                <w:szCs w:val="18"/>
                <w:color w:val="0000EE"/>
                <w:w w:val="98"/>
              </w:rPr>
            </w:pPr>
            <w:hyperlink w:anchor="page136">
              <w:r>
                <w:rPr>
                  <w:rFonts w:ascii="Arial" w:cs="Arial" w:eastAsia="Arial" w:hAnsi="Arial"/>
                  <w:sz w:val="18"/>
                  <w:szCs w:val="18"/>
                  <w:color w:val="0000EE"/>
                  <w:w w:val="98"/>
                </w:rPr>
                <w:t>Certification of Principal Accounting and Financial Officer Pursuant to Rules</w:t>
              </w:r>
            </w:hyperlink>
          </w:p>
        </w:tc>
        <w:tc>
          <w:tcPr>
            <w:tcW w:w="4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0" w:type="dxa"/>
            <w:vAlign w:val="bottom"/>
            <w:gridSpan w:val="20"/>
          </w:tcPr>
          <w:p>
            <w:pPr>
              <w:spacing w:after="0" w:line="181" w:lineRule="exact"/>
              <w:rPr>
                <w:rFonts w:ascii="Arial" w:cs="Arial" w:eastAsia="Arial" w:hAnsi="Arial"/>
                <w:sz w:val="18"/>
                <w:szCs w:val="18"/>
                <w:color w:val="0000EE"/>
              </w:rPr>
            </w:pPr>
            <w:hyperlink w:anchor="page136">
              <w:r>
                <w:rPr>
                  <w:rFonts w:ascii="Arial" w:cs="Arial" w:eastAsia="Arial" w:hAnsi="Arial"/>
                  <w:sz w:val="18"/>
                  <w:szCs w:val="18"/>
                  <w:color w:val="0000EE"/>
                </w:rPr>
                <w:t>13a-14(a) and 15d-14(a) under the Securities Exchange Act of 1934, as</w:t>
              </w:r>
            </w:hyperlink>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Borders>
              <w:top w:val="single" w:sz="8" w:color="0000EE"/>
            </w:tcBorders>
            <w:gridSpan w:val="11"/>
          </w:tcPr>
          <w:p>
            <w:pPr>
              <w:spacing w:after="0" w:line="181" w:lineRule="exact"/>
              <w:rPr>
                <w:rFonts w:ascii="Arial" w:cs="Arial" w:eastAsia="Arial" w:hAnsi="Arial"/>
                <w:sz w:val="18"/>
                <w:szCs w:val="18"/>
                <w:color w:val="0000EE"/>
              </w:rPr>
            </w:pPr>
            <w:hyperlink w:anchor="page136">
              <w:r>
                <w:rPr>
                  <w:rFonts w:ascii="Arial" w:cs="Arial" w:eastAsia="Arial" w:hAnsi="Arial"/>
                  <w:sz w:val="18"/>
                  <w:szCs w:val="18"/>
                  <w:color w:val="0000EE"/>
                </w:rPr>
                <w:t>Adopted Pursuant to Section 302 of the Sarbanes-Oxley Act of 2002.</w:t>
              </w:r>
            </w:hyperlink>
          </w:p>
        </w:tc>
        <w:tc>
          <w:tcPr>
            <w:tcW w:w="340" w:type="dxa"/>
            <w:vAlign w:val="bottom"/>
            <w:gridSpan w:val="9"/>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3980" w:type="dxa"/>
            <w:vAlign w:val="bottom"/>
            <w:gridSpan w:val="6"/>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980" w:type="dxa"/>
            <w:vAlign w:val="bottom"/>
          </w:tcPr>
          <w:p>
            <w:pPr>
              <w:jc w:val="right"/>
              <w:ind w:right="374"/>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6000" w:type="dxa"/>
            <w:vAlign w:val="bottom"/>
            <w:gridSpan w:val="20"/>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Certification of Principal Executive Officer Pursuant to 18 U.S.C. Section</w:t>
              </w:r>
            </w:hyperlink>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00" w:type="dxa"/>
            <w:vAlign w:val="bottom"/>
            <w:tcBorders>
              <w:top w:val="single" w:sz="8" w:color="0000EE"/>
            </w:tcBorders>
            <w:gridSpan w:val="13"/>
          </w:tcPr>
          <w:p>
            <w:pPr>
              <w:spacing w:after="0" w:line="181" w:lineRule="exact"/>
              <w:rPr>
                <w:rFonts w:ascii="Arial" w:cs="Arial" w:eastAsia="Arial" w:hAnsi="Arial"/>
                <w:sz w:val="18"/>
                <w:szCs w:val="18"/>
                <w:color w:val="0000EE"/>
                <w:w w:val="99"/>
              </w:rPr>
            </w:pPr>
            <w:hyperlink w:anchor="page137">
              <w:r>
                <w:rPr>
                  <w:rFonts w:ascii="Arial" w:cs="Arial" w:eastAsia="Arial" w:hAnsi="Arial"/>
                  <w:sz w:val="18"/>
                  <w:szCs w:val="18"/>
                  <w:color w:val="0000EE"/>
                  <w:w w:val="99"/>
                </w:rPr>
                <w:t>1350, as Adopted Pursuant to Section 906 of the Sarbanes-Oxley Act of</w:t>
              </w:r>
            </w:hyperlink>
          </w:p>
        </w:tc>
        <w:tc>
          <w:tcPr>
            <w:tcW w:w="300" w:type="dxa"/>
            <w:vAlign w:val="bottom"/>
            <w:gridSpan w:val="7"/>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1" w:lineRule="exact"/>
              <w:rPr>
                <w:rFonts w:ascii="Arial" w:cs="Arial" w:eastAsia="Arial" w:hAnsi="Arial"/>
                <w:sz w:val="18"/>
                <w:szCs w:val="18"/>
                <w:color w:val="0000EE"/>
                <w:w w:val="97"/>
              </w:rPr>
            </w:pPr>
            <w:hyperlink w:anchor="page137">
              <w:r>
                <w:rPr>
                  <w:rFonts w:ascii="Arial" w:cs="Arial" w:eastAsia="Arial" w:hAnsi="Arial"/>
                  <w:sz w:val="18"/>
                  <w:szCs w:val="18"/>
                  <w:color w:val="0000EE"/>
                  <w:w w:val="97"/>
                </w:rPr>
                <w:t>2002.</w:t>
              </w:r>
            </w:hyperlink>
          </w:p>
        </w:tc>
        <w:tc>
          <w:tcPr>
            <w:tcW w:w="9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38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980" w:type="dxa"/>
            <w:vAlign w:val="bottom"/>
          </w:tcPr>
          <w:p>
            <w:pPr>
              <w:jc w:val="right"/>
              <w:ind w:right="374"/>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6000" w:type="dxa"/>
            <w:vAlign w:val="bottom"/>
            <w:gridSpan w:val="20"/>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Certification of Principal Accounting and Financial Officer Pursuant to 18</w:t>
              </w:r>
            </w:hyperlink>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right w:val="single" w:sz="8" w:color="0000EE"/>
            </w:tcBorders>
            <w:gridSpan w:val="3"/>
            <w:shd w:val="clear" w:color="auto" w:fill="0000EE"/>
          </w:tcPr>
          <w:p>
            <w:pPr>
              <w:spacing w:after="0" w:line="20" w:lineRule="exact"/>
              <w:rPr>
                <w:sz w:val="1"/>
                <w:szCs w:val="1"/>
                <w:color w:val="auto"/>
              </w:rPr>
            </w:pPr>
          </w:p>
        </w:tc>
        <w:tc>
          <w:tcPr>
            <w:tcW w:w="4240" w:type="dxa"/>
            <w:vAlign w:val="bottom"/>
            <w:gridSpan w:val="10"/>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0" w:type="dxa"/>
            <w:vAlign w:val="bottom"/>
            <w:gridSpan w:val="20"/>
          </w:tcPr>
          <w:p>
            <w:pPr>
              <w:spacing w:after="0" w:line="181" w:lineRule="exact"/>
              <w:rPr>
                <w:rFonts w:ascii="Arial" w:cs="Arial" w:eastAsia="Arial" w:hAnsi="Arial"/>
                <w:sz w:val="18"/>
                <w:szCs w:val="18"/>
                <w:color w:val="0000EE"/>
                <w:w w:val="99"/>
              </w:rPr>
            </w:pPr>
            <w:hyperlink w:anchor="page138">
              <w:r>
                <w:rPr>
                  <w:rFonts w:ascii="Arial" w:cs="Arial" w:eastAsia="Arial" w:hAnsi="Arial"/>
                  <w:sz w:val="18"/>
                  <w:szCs w:val="18"/>
                  <w:color w:val="0000EE"/>
                  <w:w w:val="99"/>
                </w:rPr>
                <w:t>U.S.C. Section 1350, as Adopted Pursuant to Section 906 of the Sarbanes-</w:t>
              </w:r>
            </w:hyperlink>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40" w:type="dxa"/>
            <w:vAlign w:val="bottom"/>
            <w:tcBorders>
              <w:top w:val="single" w:sz="8" w:color="0000EE"/>
            </w:tcBorders>
            <w:gridSpan w:val="17"/>
          </w:tcPr>
          <w:p>
            <w:pPr>
              <w:spacing w:after="0" w:line="181" w:lineRule="exact"/>
              <w:rPr>
                <w:rFonts w:ascii="Arial" w:cs="Arial" w:eastAsia="Arial" w:hAnsi="Arial"/>
                <w:sz w:val="18"/>
                <w:szCs w:val="18"/>
                <w:color w:val="0000EE"/>
              </w:rPr>
            </w:pPr>
            <w:hyperlink w:anchor="page138">
              <w:r>
                <w:rPr>
                  <w:rFonts w:ascii="Arial" w:cs="Arial" w:eastAsia="Arial" w:hAnsi="Arial"/>
                  <w:sz w:val="18"/>
                  <w:szCs w:val="18"/>
                  <w:color w:val="0000EE"/>
                </w:rPr>
                <w:t>Oxley Act of 2002.</w:t>
              </w:r>
            </w:hyperlink>
          </w:p>
        </w:tc>
        <w:tc>
          <w:tcPr>
            <w:tcW w:w="6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1060" w:right="4240" w:hanging="1049"/>
        <w:spacing w:after="0" w:line="246"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June 30, 2021, formatted in Inline XBRL:</w:t>
      </w:r>
    </w:p>
    <w:p>
      <w:pPr>
        <w:ind w:left="1060" w:right="4240"/>
        <w:spacing w:after="0" w:line="235" w:lineRule="auto"/>
        <w:rPr>
          <w:rFonts w:ascii="Arial" w:cs="Arial" w:eastAsia="Arial" w:hAnsi="Arial"/>
          <w:sz w:val="17"/>
          <w:szCs w:val="17"/>
          <w:color w:val="auto"/>
        </w:rPr>
      </w:pPr>
      <w:r>
        <w:rPr>
          <w:rFonts w:ascii="Arial" w:cs="Arial" w:eastAsia="Arial" w:hAnsi="Arial"/>
          <w:sz w:val="18"/>
          <w:szCs w:val="18"/>
          <w:color w:val="auto"/>
        </w:rPr>
        <w:t>(i) Condensed Consolidated Balance Sheets, (ii) Condensed Consolidated Statements of Operations and Comprehensive Loss, (iii) Condensed Consolidated Statements of Convertible Preferred Stock and Stockholders’ Equity, (iv), Condensed Consolidated Statements of Cash Flows, and (v) Notes to Unaudited Condensed Consolidated Financial Statements, tagged as blocks of text and including detailed tags.</w:t>
      </w:r>
    </w:p>
    <w:p>
      <w:pPr>
        <w:spacing w:after="0" w:line="95" w:lineRule="exact"/>
        <w:rPr>
          <w:sz w:val="20"/>
          <w:szCs w:val="20"/>
          <w:color w:val="auto"/>
        </w:rPr>
      </w:pPr>
    </w:p>
    <w:p>
      <w:pPr>
        <w:ind w:left="1060" w:right="4300" w:hanging="1049"/>
        <w:spacing w:after="0" w:line="239" w:lineRule="auto"/>
        <w:tabs>
          <w:tab w:leader="none" w:pos="10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in Exhibit 101)</w:t>
      </w:r>
    </w:p>
    <w:p>
      <w:pPr>
        <w:spacing w:after="0" w:line="176" w:lineRule="exact"/>
        <w:rPr>
          <w:rFonts w:ascii="Arial" w:cs="Arial" w:eastAsia="Arial" w:hAnsi="Arial"/>
          <w:sz w:val="18"/>
          <w:szCs w:val="18"/>
          <w:color w:val="auto"/>
        </w:rPr>
      </w:pPr>
    </w:p>
    <w:p>
      <w:pPr>
        <w:ind w:left="520" w:hanging="508"/>
        <w:spacing w:after="0" w:line="236" w:lineRule="auto"/>
        <w:rPr>
          <w:rFonts w:ascii="Arial" w:cs="Arial" w:eastAsia="Arial" w:hAnsi="Arial"/>
          <w:sz w:val="18"/>
          <w:szCs w:val="18"/>
          <w:color w:val="auto"/>
        </w:rPr>
      </w:pPr>
      <w:r>
        <w:rPr>
          <w:rFonts w:ascii="Arial" w:cs="Arial" w:eastAsia="Arial" w:hAnsi="Arial"/>
          <w:sz w:val="18"/>
          <w:szCs w:val="18"/>
          <w:color w:val="auto"/>
        </w:rPr>
        <w:t>*The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-549910</wp:posOffset>
            </wp:positionV>
            <wp:extent cx="9512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8" w:lineRule="exact"/>
        <w:rPr>
          <w:sz w:val="20"/>
          <w:szCs w:val="20"/>
          <w:color w:val="auto"/>
        </w:rPr>
      </w:pPr>
    </w:p>
    <w:p>
      <w:pPr>
        <w:ind w:left="520" w:hanging="513"/>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510"/>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Athira Pharma, Inc.</w:t>
      </w:r>
    </w:p>
    <w:p>
      <w:pPr>
        <w:spacing w:after="0" w:line="24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7"/>
          <w:szCs w:val="17"/>
          <w:color w:val="auto"/>
        </w:rPr>
        <w:t>By: /s/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-3175</wp:posOffset>
            </wp:positionV>
            <wp:extent cx="3312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312160" cy="8255"/>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Mark Litton</w:t>
      </w:r>
    </w:p>
    <w:p>
      <w:pPr>
        <w:spacing w:after="0" w:line="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Operating Officer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35"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7"/>
          <w:szCs w:val="17"/>
          <w:color w:val="auto"/>
        </w:rPr>
        <w:t>By: /s/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-3175</wp:posOffset>
            </wp:positionV>
            <wp:extent cx="3312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312160" cy="8255"/>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Glenna Mileson</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and Accounting</w:t>
      </w:r>
    </w:p>
    <w:p>
      <w:pPr>
        <w:ind w:left="60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545" w:right="339" w:bottom="1440" w:gutter="0" w:footer="0" w:header="0"/>
        </w:sectPr>
      </w:pPr>
    </w:p>
    <w:bookmarkStart w:id="91" w:name="page92"/>
    <w:bookmarkEnd w:id="91"/>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-104775</wp:posOffset>
            </wp:positionV>
            <wp:extent cx="7125335" cy="645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25335" cy="645160"/>
                    </a:xfrm>
                    <a:prstGeom prst="rect">
                      <a:avLst/>
                    </a:prstGeom>
                    <a:noFill/>
                  </pic:spPr>
                </pic:pic>
              </a:graphicData>
            </a:graphic>
          </wp:anchor>
        </w:drawing>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18706 NORTH CREEK PARKWAY</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color w:val="auto"/>
        </w:rPr>
        <w:t>April 27,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Rachel Lenington</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Via Email</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 Offer Letter</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Dear Rachel:</w:t>
      </w:r>
    </w:p>
    <w:p>
      <w:pPr>
        <w:spacing w:after="0" w:line="213"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color w:val="auto"/>
        </w:rPr>
        <w:t>I am pleased to offer you a position with Athira Pharma, Inc. (the “Company”) in accordance with the terms of this offer letter (the “Agreement”).</w:t>
      </w:r>
    </w:p>
    <w:p>
      <w:pPr>
        <w:spacing w:after="0" w:line="152" w:lineRule="exact"/>
        <w:rPr>
          <w:sz w:val="20"/>
          <w:szCs w:val="20"/>
          <w:color w:val="auto"/>
        </w:rPr>
      </w:pPr>
    </w:p>
    <w:p>
      <w:pPr>
        <w:jc w:val="both"/>
        <w:ind w:firstLine="871"/>
        <w:spacing w:after="0" w:line="242" w:lineRule="auto"/>
        <w:tabs>
          <w:tab w:leader="none" w:pos="1666"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Title; Position</w:t>
      </w:r>
      <w:r>
        <w:rPr>
          <w:rFonts w:ascii="Arial" w:cs="Arial" w:eastAsia="Arial" w:hAnsi="Arial"/>
          <w:sz w:val="21"/>
          <w:szCs w:val="21"/>
          <w:color w:val="auto"/>
        </w:rPr>
        <w:t>. You will serve as the Company’s Chief Technology Officer and Head of Product Development Strategy. You will report to the Company’s Chief Executive Officer and will perform the duties and responsibilities customary for such position and such other related duties as are reasonably assigned by the Company’s Chief Executive Officer. While you render services to the Company, you will not engage in any other employment, occupation, or consulting activity for any direct or indirect remuneration or otherwise without the prior written approval of the Company Board of Directors (the “Board”). You may engage in charitable and community activities as well as own, as a passive investment, less than two percent (2%) of the capital stock of any corporation listed on the national securities exchange or publicly traded in the over-the-counter market, as long as such activities do not interfere with the performance of your duties under this Agreement. By signing this Agreement, you confirm that you have no contractual commitments or other legal obligations that would prohibit you from performing your duties for the Company.</w:t>
      </w:r>
    </w:p>
    <w:p>
      <w:pPr>
        <w:spacing w:after="0" w:line="186" w:lineRule="exact"/>
        <w:rPr>
          <w:rFonts w:ascii="Arial" w:cs="Arial" w:eastAsia="Arial" w:hAnsi="Arial"/>
          <w:sz w:val="21"/>
          <w:szCs w:val="21"/>
          <w:color w:val="auto"/>
        </w:rPr>
      </w:pPr>
    </w:p>
    <w:p>
      <w:pPr>
        <w:jc w:val="both"/>
        <w:ind w:firstLine="871"/>
        <w:spacing w:after="0" w:line="249" w:lineRule="auto"/>
        <w:tabs>
          <w:tab w:leader="none" w:pos="1666"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Location</w:t>
      </w:r>
      <w:r>
        <w:rPr>
          <w:rFonts w:ascii="Arial" w:cs="Arial" w:eastAsia="Arial" w:hAnsi="Arial"/>
          <w:sz w:val="21"/>
          <w:szCs w:val="21"/>
          <w:color w:val="auto"/>
        </w:rPr>
        <w:t>. You will perform your duties from the Company’s corporate offices located in Seattle, Washington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74" w:lineRule="exact"/>
        <w:rPr>
          <w:rFonts w:ascii="Arial" w:cs="Arial" w:eastAsia="Arial" w:hAnsi="Arial"/>
          <w:sz w:val="21"/>
          <w:szCs w:val="21"/>
          <w:color w:val="auto"/>
        </w:rPr>
      </w:pPr>
    </w:p>
    <w:p>
      <w:pPr>
        <w:jc w:val="both"/>
        <w:ind w:firstLine="871"/>
        <w:spacing w:after="0" w:line="294" w:lineRule="auto"/>
        <w:tabs>
          <w:tab w:leader="none" w:pos="166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Your annual base salary will be $410,000, which will be payable, less any applicable withholdings, in accordance with the Company’s normal payroll practices. Your annual base salary will be subject to review and adjustment from time to time by our Board or its Compensation Committee (the “Committee”), as applicable,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289560</wp:posOffset>
            </wp:positionV>
            <wp:extent cx="717613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215900</wp:posOffset>
            </wp:positionH>
            <wp:positionV relativeFrom="page">
              <wp:posOffset>182245</wp:posOffset>
            </wp:positionV>
            <wp:extent cx="7125335" cy="645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25335" cy="645160"/>
                    </a:xfrm>
                    <a:prstGeom prst="rect">
                      <a:avLst/>
                    </a:prstGeom>
                    <a:noFill/>
                  </pic:spPr>
                </pic:pic>
              </a:graphicData>
            </a:graphic>
          </wp:anchor>
        </w:drawing>
        <w:t>18706 NORTH CREEK PARKWAY</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871"/>
        <w:spacing w:after="0" w:line="257" w:lineRule="auto"/>
        <w:tabs>
          <w:tab w:leader="none" w:pos="1666"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Annual Bonus</w:t>
      </w:r>
      <w:r>
        <w:rPr>
          <w:rFonts w:ascii="Arial" w:cs="Arial" w:eastAsia="Arial" w:hAnsi="Arial"/>
          <w:sz w:val="20"/>
          <w:szCs w:val="20"/>
          <w:color w:val="auto"/>
        </w:rPr>
        <w:t>. For the Company’s 2021 fiscal year, you will have the opportunity to earn a target annual cash bonus equal to forty percent (40%) of your annual base salary, based on achieving performance objectives established by the Board or the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 Your 2021 fiscal year annual bonus will be prorated for the portion of the fiscal year you were employed by the Company (beginning with your employment start date).</w:t>
      </w:r>
    </w:p>
    <w:p>
      <w:pPr>
        <w:spacing w:after="0" w:line="169" w:lineRule="exact"/>
        <w:rPr>
          <w:rFonts w:ascii="Arial" w:cs="Arial" w:eastAsia="Arial" w:hAnsi="Arial"/>
          <w:sz w:val="20"/>
          <w:szCs w:val="20"/>
          <w:color w:val="auto"/>
        </w:rPr>
      </w:pPr>
    </w:p>
    <w:p>
      <w:pPr>
        <w:jc w:val="both"/>
        <w:ind w:firstLine="871"/>
        <w:spacing w:after="0" w:line="255" w:lineRule="auto"/>
        <w:tabs>
          <w:tab w:leader="none" w:pos="1666"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Equity Awards</w:t>
      </w:r>
      <w:r>
        <w:rPr>
          <w:rFonts w:ascii="Arial" w:cs="Arial" w:eastAsia="Arial" w:hAnsi="Arial"/>
          <w:sz w:val="20"/>
          <w:szCs w:val="20"/>
          <w:color w:val="auto"/>
        </w:rPr>
        <w:t>. In addition, if you decide to join us it will be recommended that the Committee approve the grant to you of an option to purchase 150,000 shares of the Company’s Common Stock (the “Option”). The Option shall have an exercise price per share equal to the fair market value per share on the date of grant as determined by the Committee. The shares subject to the Option will be scheduled to vest as to one fourth (1/4th) of the shares of the Company’s common stock subject at grant to the Option on each of the one (1), two (2), three (3), and four (4) year anniversaries of the Option’s grant date, subject to your continued status as a service provider through the applicable vesting date. The Option will be subject to the terms and conditions of the Company’s 2020 Equity Incentive Plan and a stock option agreement provided to you by the Company. You will be eligible to receive additional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74" w:lineRule="exact"/>
        <w:rPr>
          <w:rFonts w:ascii="Arial" w:cs="Arial" w:eastAsia="Arial" w:hAnsi="Arial"/>
          <w:sz w:val="20"/>
          <w:szCs w:val="20"/>
          <w:color w:val="auto"/>
        </w:rPr>
      </w:pPr>
    </w:p>
    <w:p>
      <w:pPr>
        <w:jc w:val="both"/>
        <w:ind w:firstLine="871"/>
        <w:spacing w:after="0" w:line="260" w:lineRule="auto"/>
        <w:tabs>
          <w:tab w:leader="none" w:pos="1666"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Employee Benefits</w:t>
      </w:r>
      <w:r>
        <w:rPr>
          <w:rFonts w:ascii="Arial" w:cs="Arial" w:eastAsia="Arial" w:hAnsi="Arial"/>
          <w:sz w:val="20"/>
          <w:szCs w:val="20"/>
          <w:color w:val="auto"/>
        </w:rPr>
        <w:t>. You will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63" w:lineRule="exact"/>
        <w:rPr>
          <w:rFonts w:ascii="Arial" w:cs="Arial" w:eastAsia="Arial" w:hAnsi="Arial"/>
          <w:sz w:val="20"/>
          <w:szCs w:val="20"/>
          <w:color w:val="auto"/>
        </w:rPr>
      </w:pPr>
    </w:p>
    <w:p>
      <w:pPr>
        <w:jc w:val="both"/>
        <w:ind w:firstLine="871"/>
        <w:spacing w:after="0" w:line="249" w:lineRule="auto"/>
        <w:tabs>
          <w:tab w:leader="none" w:pos="1666"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Severance</w:t>
      </w:r>
      <w:r>
        <w:rPr>
          <w:rFonts w:ascii="Arial" w:cs="Arial" w:eastAsia="Arial" w:hAnsi="Arial"/>
          <w:sz w:val="21"/>
          <w:szCs w:val="21"/>
          <w:color w:val="auto"/>
        </w:rPr>
        <w:t>. You will be eligible to enter into a Change in Control and Severance Agreement (the “Severance Agreement”) applicable to you based on your position within the Company. The Severance Agreement will specify the severance payments and benefits you may become entitled to receive in connection with a change in control of the Company as well as certain qualifying terminations of your employment with the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195580</wp:posOffset>
            </wp:positionV>
            <wp:extent cx="717613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215900</wp:posOffset>
            </wp:positionH>
            <wp:positionV relativeFrom="page">
              <wp:posOffset>182245</wp:posOffset>
            </wp:positionV>
            <wp:extent cx="1205865" cy="636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205865" cy="636905"/>
                    </a:xfrm>
                    <a:prstGeom prst="rect">
                      <a:avLst/>
                    </a:prstGeom>
                    <a:noFill/>
                  </pic:spPr>
                </pic:pic>
              </a:graphicData>
            </a:graphic>
          </wp:anchor>
        </w:drawing>
        <w:t>18706 NORTH CREEK PARKWAY</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22225</wp:posOffset>
            </wp:positionV>
            <wp:extent cx="71253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both"/>
        <w:ind w:firstLine="871"/>
        <w:spacing w:after="0" w:line="262" w:lineRule="auto"/>
        <w:tabs>
          <w:tab w:leader="none" w:pos="166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xml:space="preserve">. As an employee of the Company, you will have access to certain confidential information of the Company and you may, during the course of your employment, develop certain information or inventions that will be the property of the Company. To protect the interests of the Company, you will be required as a condition of your employment with the Company to enter into a Proprietary Information and Inventions Assignment Agreement with the Company in substantially the form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(the “Confidentiality Agreement”).</w:t>
      </w:r>
    </w:p>
    <w:p>
      <w:pPr>
        <w:spacing w:after="0" w:line="162" w:lineRule="exact"/>
        <w:rPr>
          <w:rFonts w:ascii="Arial" w:cs="Arial" w:eastAsia="Arial" w:hAnsi="Arial"/>
          <w:sz w:val="20"/>
          <w:szCs w:val="20"/>
          <w:color w:val="auto"/>
        </w:rPr>
      </w:pPr>
    </w:p>
    <w:p>
      <w:pPr>
        <w:jc w:val="both"/>
        <w:ind w:firstLine="871"/>
        <w:spacing w:after="0" w:line="247" w:lineRule="exact"/>
        <w:tabs>
          <w:tab w:leader="none" w:pos="1666"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This Agreement does not imply any right to your continued employment for any period with the Company or any parent, subsidiary, or affiliate of the Company. Your employment with the Company is and will continue to be at</w:t>
      </w:r>
      <w:r>
        <w:rPr>
          <w:rFonts w:ascii="MS PGothic" w:cs="MS PGothic" w:eastAsia="MS PGothic" w:hAnsi="MS PGothic"/>
          <w:sz w:val="21"/>
          <w:szCs w:val="21"/>
          <w:color w:val="auto"/>
        </w:rPr>
        <w:t>‑</w:t>
      </w:r>
      <w:r>
        <w:rPr>
          <w:rFonts w:ascii="Arial" w:cs="Arial" w:eastAsia="Arial" w:hAnsi="Arial"/>
          <w:sz w:val="21"/>
          <w:szCs w:val="21"/>
          <w:color w:val="auto"/>
        </w:rPr>
        <w: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85" w:lineRule="exact"/>
        <w:rPr>
          <w:rFonts w:ascii="Arial" w:cs="Arial" w:eastAsia="Arial" w:hAnsi="Arial"/>
          <w:sz w:val="21"/>
          <w:szCs w:val="21"/>
          <w:color w:val="auto"/>
        </w:rPr>
      </w:pPr>
    </w:p>
    <w:p>
      <w:pPr>
        <w:jc w:val="both"/>
        <w:ind w:firstLine="871"/>
        <w:spacing w:after="0" w:line="254" w:lineRule="auto"/>
        <w:tabs>
          <w:tab w:leader="none" w:pos="177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Additional Employment Provisions</w:t>
      </w:r>
      <w:r>
        <w:rPr>
          <w:rFonts w:ascii="Arial" w:cs="Arial" w:eastAsia="Arial" w:hAnsi="Arial"/>
          <w:sz w:val="20"/>
          <w:szCs w:val="20"/>
          <w:color w:val="auto"/>
        </w:rPr>
        <w:t>.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 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 You will be required to sign an acknowledgment that you have read and that you understand the Company’s rules of conduct which are included in the Company Handbook.</w:t>
      </w:r>
    </w:p>
    <w:p>
      <w:pPr>
        <w:spacing w:after="0" w:line="179" w:lineRule="exact"/>
        <w:rPr>
          <w:rFonts w:ascii="Arial" w:cs="Arial" w:eastAsia="Arial" w:hAnsi="Arial"/>
          <w:sz w:val="20"/>
          <w:szCs w:val="20"/>
          <w:color w:val="auto"/>
        </w:rPr>
      </w:pPr>
    </w:p>
    <w:p>
      <w:pPr>
        <w:jc w:val="both"/>
        <w:ind w:firstLine="871"/>
        <w:spacing w:after="0" w:line="243" w:lineRule="auto"/>
        <w:tabs>
          <w:tab w:leader="none" w:pos="1765"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Protected Activity Not Prohibited</w:t>
      </w:r>
      <w:r>
        <w:rPr>
          <w:rFonts w:ascii="Arial" w:cs="Arial" w:eastAsia="Arial" w:hAnsi="Arial"/>
          <w:sz w:val="21"/>
          <w:szCs w:val="21"/>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195580</wp:posOffset>
            </wp:positionV>
            <wp:extent cx="717613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215900</wp:posOffset>
            </wp:positionH>
            <wp:positionV relativeFrom="page">
              <wp:posOffset>182245</wp:posOffset>
            </wp:positionV>
            <wp:extent cx="7125335" cy="645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25335" cy="645160"/>
                    </a:xfrm>
                    <a:prstGeom prst="rect">
                      <a:avLst/>
                    </a:prstGeom>
                    <a:noFill/>
                  </pic:spPr>
                </pic:pic>
              </a:graphicData>
            </a:graphic>
          </wp:anchor>
        </w:drawing>
        <w:t>18706 NORTH CREEK PARKWAY</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w:t>
      </w:r>
    </w:p>
    <w:p>
      <w:pPr>
        <w:spacing w:after="0" w:line="175" w:lineRule="exact"/>
        <w:rPr>
          <w:sz w:val="20"/>
          <w:szCs w:val="20"/>
          <w:color w:val="auto"/>
        </w:rPr>
      </w:pPr>
    </w:p>
    <w:p>
      <w:pPr>
        <w:jc w:val="both"/>
        <w:ind w:firstLine="871"/>
        <w:spacing w:after="0" w:line="269" w:lineRule="auto"/>
        <w:tabs>
          <w:tab w:leader="none" w:pos="1773"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Company (or its affiliate, as applicable) will have the right and authority to deduct from any payments or benefits under this Agreement all applicable federal, state, and local taxes or other required withholdings and payroll deductions (“Withholdings”).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Neither the Company nor any of its affiliates will have any responsibility, liability or obligation to pay your taxes arising from or relating to any payments or benefits under this Agreement. This Agreement and the terms herein are intended to comply with or be exempt from the requirements of Section 409A of the Internal Revenue Code of 1986, as amended, and the Treasury Regulations and any formal guidance promulgated thereunder (“Section 409A”), so that none of the payments and benefits to be provided hereunder will be subject to the additional tax imposed by Section 409A, and any ambiguities or ambiguous terms herein will be interpreted to so comply or be so exempt. In no event will the Company or any of its affiliates have any responsibility, liability or obligation to reimburse or indemnify you, or hold you harmless, for any tax imposed, or other costs incurred, as a result of Section 409A.</w:t>
      </w:r>
    </w:p>
    <w:p>
      <w:pPr>
        <w:spacing w:after="0" w:line="164" w:lineRule="exact"/>
        <w:rPr>
          <w:rFonts w:ascii="Arial" w:cs="Arial" w:eastAsia="Arial" w:hAnsi="Arial"/>
          <w:sz w:val="19"/>
          <w:szCs w:val="19"/>
          <w:color w:val="auto"/>
        </w:rPr>
      </w:pPr>
    </w:p>
    <w:p>
      <w:pPr>
        <w:jc w:val="both"/>
        <w:ind w:firstLine="871"/>
        <w:spacing w:after="0" w:line="262" w:lineRule="auto"/>
        <w:tabs>
          <w:tab w:leader="none" w:pos="1773"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together with the Confidentiality Agreement,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Washington but without regard to the conflicts of law provision. This Agreement may be modified only by a written agreement signed by a duly authorized officer of the Company (other than yourself) and you.</w:t>
      </w:r>
    </w:p>
    <w:p>
      <w:pPr>
        <w:spacing w:after="0" w:line="16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 xml:space="preserve">To accept the Company’s offer, please sign and date in the spaces indicated below and return this Agreement to me. If you accept our offer, your first day of employment with the Company pursuant to the terms of this Agreement will be </w:t>
      </w:r>
      <w:r>
        <w:rPr>
          <w:rFonts w:ascii="Arial" w:cs="Arial" w:eastAsia="Arial" w:hAnsi="Arial"/>
          <w:sz w:val="21"/>
          <w:szCs w:val="21"/>
          <w:b w:val="1"/>
          <w:bCs w:val="1"/>
          <w:color w:val="auto"/>
        </w:rPr>
        <w:t>June 14, 2021</w:t>
      </w:r>
      <w:r>
        <w:rPr>
          <w:rFonts w:ascii="Arial" w:cs="Arial" w:eastAsia="Arial" w:hAnsi="Arial"/>
          <w:sz w:val="21"/>
          <w:szCs w:val="21"/>
          <w:color w:val="auto"/>
        </w:rPr>
        <w:t>. This offer of employment will terminate if it is not accepted, signed and returned by May 10, 2021.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195580</wp:posOffset>
            </wp:positionV>
            <wp:extent cx="717613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215900</wp:posOffset>
            </wp:positionH>
            <wp:positionV relativeFrom="page">
              <wp:posOffset>182245</wp:posOffset>
            </wp:positionV>
            <wp:extent cx="1205865" cy="636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205865" cy="636905"/>
                    </a:xfrm>
                    <a:prstGeom prst="rect">
                      <a:avLst/>
                    </a:prstGeom>
                    <a:noFill/>
                  </pic:spPr>
                </pic:pic>
              </a:graphicData>
            </a:graphic>
          </wp:anchor>
        </w:drawing>
        <w:t>18706 NORTH CREEK PARKWAY</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22225</wp:posOffset>
            </wp:positionV>
            <wp:extent cx="71253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We look forward to your favorable reply and to working with you at Athira Pharma, Inc.</w:t>
      </w:r>
    </w:p>
    <w:p>
      <w:pPr>
        <w:spacing w:after="0" w:line="213" w:lineRule="exact"/>
        <w:rPr>
          <w:sz w:val="20"/>
          <w:szCs w:val="20"/>
          <w:color w:val="auto"/>
        </w:rPr>
      </w:pPr>
    </w:p>
    <w:p>
      <w:pPr>
        <w:ind w:left="6540"/>
        <w:spacing w:after="0"/>
        <w:rPr>
          <w:sz w:val="20"/>
          <w:szCs w:val="20"/>
          <w:color w:val="auto"/>
        </w:rPr>
      </w:pPr>
      <w:r>
        <w:rPr>
          <w:rFonts w:ascii="Arial" w:cs="Arial" w:eastAsia="Arial" w:hAnsi="Arial"/>
          <w:sz w:val="21"/>
          <w:szCs w:val="21"/>
          <w:color w:val="auto"/>
        </w:rPr>
        <w:t>Sincerely,</w:t>
      </w:r>
    </w:p>
    <w:p>
      <w:pPr>
        <w:spacing w:after="0" w:line="213" w:lineRule="exact"/>
        <w:rPr>
          <w:sz w:val="20"/>
          <w:szCs w:val="20"/>
          <w:color w:val="auto"/>
        </w:rPr>
      </w:pPr>
    </w:p>
    <w:p>
      <w:pPr>
        <w:ind w:left="6540"/>
        <w:spacing w:after="0"/>
        <w:rPr>
          <w:sz w:val="20"/>
          <w:szCs w:val="20"/>
          <w:color w:val="auto"/>
        </w:rPr>
      </w:pPr>
      <w:r>
        <w:rPr>
          <w:rFonts w:ascii="Arial" w:cs="Arial" w:eastAsia="Arial" w:hAnsi="Arial"/>
          <w:sz w:val="21"/>
          <w:szCs w:val="21"/>
          <w:color w:val="auto"/>
        </w:rPr>
        <w:t>Athira Pharma, Inc.</w:t>
      </w:r>
    </w:p>
    <w:p>
      <w:pPr>
        <w:spacing w:after="0" w:line="213" w:lineRule="exact"/>
        <w:rPr>
          <w:sz w:val="20"/>
          <w:szCs w:val="20"/>
          <w:color w:val="auto"/>
        </w:rPr>
      </w:pPr>
    </w:p>
    <w:tbl>
      <w:tblPr>
        <w:tblLayout w:type="fixed"/>
        <w:tblInd w:w="6540" w:type="dxa"/>
        <w:tblCellMar>
          <w:top w:w="0" w:type="dxa"/>
          <w:left w:w="0" w:type="dxa"/>
          <w:bottom w:w="0" w:type="dxa"/>
          <w:right w:w="0" w:type="dxa"/>
        </w:tblCellMar>
      </w:tblPr>
      <w:tr>
        <w:trPr>
          <w:trHeight w:val="262"/>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Leen Kawas</w:t>
            </w:r>
          </w:p>
        </w:tc>
      </w:tr>
      <w:tr>
        <w:trPr>
          <w:trHeight w:val="213"/>
        </w:trPr>
        <w:tc>
          <w:tcPr>
            <w:tcW w:w="760" w:type="dxa"/>
            <w:vAlign w:val="bottom"/>
          </w:tcPr>
          <w:p>
            <w:pPr>
              <w:spacing w:after="0"/>
              <w:rPr>
                <w:sz w:val="18"/>
                <w:szCs w:val="18"/>
                <w:color w:val="auto"/>
              </w:rPr>
            </w:pPr>
          </w:p>
        </w:tc>
        <w:tc>
          <w:tcPr>
            <w:tcW w:w="3940" w:type="dxa"/>
            <w:vAlign w:val="bottom"/>
          </w:tcPr>
          <w:p>
            <w:pPr>
              <w:spacing w:after="0" w:line="213" w:lineRule="exact"/>
              <w:rPr>
                <w:sz w:val="20"/>
                <w:szCs w:val="20"/>
                <w:color w:val="auto"/>
              </w:rPr>
            </w:pPr>
            <w:r>
              <w:rPr>
                <w:rFonts w:ascii="Arial" w:cs="Arial" w:eastAsia="Arial" w:hAnsi="Arial"/>
                <w:sz w:val="21"/>
                <w:szCs w:val="21"/>
                <w:color w:val="auto"/>
              </w:rPr>
              <w:t>Leen Kawas, Ph.D.</w:t>
            </w:r>
          </w:p>
        </w:tc>
      </w:tr>
      <w:tr>
        <w:trPr>
          <w:trHeight w:val="273"/>
        </w:trPr>
        <w:tc>
          <w:tcPr>
            <w:tcW w:w="76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Arial" w:cs="Arial" w:eastAsia="Arial" w:hAnsi="Arial"/>
                <w:sz w:val="21"/>
                <w:szCs w:val="21"/>
                <w:color w:val="auto"/>
              </w:rPr>
              <w:t>Chief Executive Officer</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21"/>
          <w:szCs w:val="21"/>
          <w:color w:val="auto"/>
        </w:rPr>
        <w:t>Agreed to and accepted:</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Rachel Lenington</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Dated: </w:t>
      </w:r>
      <w:r>
        <w:rPr>
          <w:rFonts w:ascii="Arial" w:cs="Arial" w:eastAsia="Arial" w:hAnsi="Arial"/>
          <w:sz w:val="21"/>
          <w:szCs w:val="21"/>
          <w:u w:val="single" w:color="auto"/>
          <w:color w:val="auto"/>
        </w:rPr>
        <w:t>May 11, 2021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195580</wp:posOffset>
            </wp:positionV>
            <wp:extent cx="717613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215900</wp:posOffset>
            </wp:positionH>
            <wp:positionV relativeFrom="page">
              <wp:posOffset>182245</wp:posOffset>
            </wp:positionV>
            <wp:extent cx="7125335" cy="645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25335" cy="645160"/>
                    </a:xfrm>
                    <a:prstGeom prst="rect">
                      <a:avLst/>
                    </a:prstGeom>
                    <a:noFill/>
                  </pic:spPr>
                </pic:pic>
              </a:graphicData>
            </a:graphic>
          </wp:anchor>
        </w:drawing>
        <w:t>18706 NORTH CREEK PARKWAY</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200" w:lineRule="exact"/>
        <w:rPr>
          <w:sz w:val="20"/>
          <w:szCs w:val="20"/>
          <w:color w:val="auto"/>
        </w:rPr>
      </w:pPr>
    </w:p>
    <w:p>
      <w:pPr>
        <w:spacing w:after="0" w:line="39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u w:val="single" w:color="auto"/>
          <w:color w:val="auto"/>
        </w:rPr>
        <w:t>EXHIBIT A</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Proprietary Information and Inventions Assignment Agreement</w:t>
      </w:r>
    </w:p>
    <w:p>
      <w:pPr>
        <w:spacing w:after="0" w:line="200" w:lineRule="exact"/>
        <w:rPr>
          <w:sz w:val="20"/>
          <w:szCs w:val="20"/>
          <w:color w:val="auto"/>
        </w:rPr>
      </w:pPr>
    </w:p>
    <w:p>
      <w:pPr>
        <w:spacing w:after="0" w:line="283" w:lineRule="exact"/>
        <w:rPr>
          <w:sz w:val="20"/>
          <w:szCs w:val="20"/>
          <w:color w:val="auto"/>
        </w:rPr>
      </w:pPr>
    </w:p>
    <w:p>
      <w:pPr>
        <w:ind w:left="4380"/>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195580</wp:posOffset>
            </wp:positionV>
            <wp:extent cx="717613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20"/>
          </w:cols>
          <w:pgMar w:left="1440" w:top="706"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215900</wp:posOffset>
            </wp:positionH>
            <wp:positionV relativeFrom="page">
              <wp:posOffset>182245</wp:posOffset>
            </wp:positionV>
            <wp:extent cx="7125335" cy="645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25335" cy="645160"/>
                    </a:xfrm>
                    <a:prstGeom prst="rect">
                      <a:avLst/>
                    </a:prstGeom>
                    <a:noFill/>
                  </pic:spPr>
                </pic:pic>
              </a:graphicData>
            </a:graphic>
          </wp:anchor>
        </w:drawing>
        <w:t>18706 NORTH CREEK PARKWAY</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Section 7 of the Defend Trade Secrets Act of 2016</w:t>
      </w:r>
    </w:p>
    <w:p>
      <w:pPr>
        <w:spacing w:after="0" w:line="219"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0"/>
          <w:szCs w:val="20"/>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706"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1"/>
          <w:szCs w:val="21"/>
          <w:b w:val="1"/>
          <w:bCs w:val="1"/>
          <w:color w:val="auto"/>
        </w:rPr>
        <w:t>Exhibit 10.2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ATHIRA PHARMA,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CHANGE IN CONTROL AND SEVERANCE AGREEMENT</w:t>
      </w:r>
    </w:p>
    <w:p>
      <w:pPr>
        <w:spacing w:after="0" w:line="219"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9"/>
          <w:szCs w:val="19"/>
          <w:color w:val="auto"/>
        </w:rPr>
        <w:t>This Change in Control and Severance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by and between Athira Pharma,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Rachel Lenington (“</w:t>
      </w:r>
      <w:r>
        <w:rPr>
          <w:rFonts w:ascii="Arial" w:cs="Arial" w:eastAsia="Arial" w:hAnsi="Arial"/>
          <w:sz w:val="19"/>
          <w:szCs w:val="19"/>
          <w:u w:val="single" w:color="auto"/>
          <w:color w:val="auto"/>
        </w:rPr>
        <w:t>Executive</w:t>
      </w:r>
      <w:r>
        <w:rPr>
          <w:rFonts w:ascii="Arial" w:cs="Arial" w:eastAsia="Arial" w:hAnsi="Arial"/>
          <w:sz w:val="19"/>
          <w:szCs w:val="19"/>
          <w:color w:val="auto"/>
        </w:rPr>
        <w:t>”), effective as of June 14,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6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20"/>
          <w:szCs w:val="20"/>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Company and Executive agree as follows:</w:t>
      </w:r>
    </w:p>
    <w:p>
      <w:pPr>
        <w:spacing w:after="0" w:line="213" w:lineRule="exact"/>
        <w:rPr>
          <w:sz w:val="20"/>
          <w:szCs w:val="20"/>
          <w:color w:val="auto"/>
        </w:rPr>
      </w:pPr>
    </w:p>
    <w:p>
      <w:pPr>
        <w:jc w:val="both"/>
        <w:ind w:firstLine="871"/>
        <w:spacing w:after="0" w:line="254" w:lineRule="auto"/>
        <w:tabs>
          <w:tab w:leader="none" w:pos="1613"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Term of Agreement</w:t>
      </w:r>
      <w:r>
        <w:rPr>
          <w:rFonts w:ascii="Arial" w:cs="Arial" w:eastAsia="Arial" w:hAnsi="Arial"/>
          <w:sz w:val="21"/>
          <w:szCs w:val="21"/>
          <w:color w:val="auto"/>
        </w:rPr>
        <w:t>. This Agreement will continue indefinitely until terminated by written consent of the parties hereto, or if earlier, upon the date that all of the obligations of the parties hereto with respect to this Agreement have been satisfied.</w:t>
      </w:r>
    </w:p>
    <w:p>
      <w:pPr>
        <w:spacing w:after="0" w:line="169" w:lineRule="exact"/>
        <w:rPr>
          <w:sz w:val="20"/>
          <w:szCs w:val="20"/>
          <w:color w:val="auto"/>
        </w:rPr>
      </w:pPr>
    </w:p>
    <w:p>
      <w:pPr>
        <w:jc w:val="both"/>
        <w:ind w:firstLine="871"/>
        <w:spacing w:after="0" w:line="246" w:lineRule="auto"/>
        <w:tabs>
          <w:tab w:leader="none" w:pos="1613"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80" w:lineRule="exact"/>
        <w:rPr>
          <w:sz w:val="20"/>
          <w:szCs w:val="20"/>
          <w:color w:val="auto"/>
        </w:rPr>
      </w:pPr>
    </w:p>
    <w:p>
      <w:pPr>
        <w:ind w:left="1680" w:hanging="809"/>
        <w:spacing w:after="0"/>
        <w:tabs>
          <w:tab w:leader="none" w:pos="1680"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Severance Benefits.</w:t>
      </w:r>
    </w:p>
    <w:p>
      <w:pPr>
        <w:spacing w:after="0" w:line="213"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Qualifying Termination Outside of the Change in Control Period.</w:t>
      </w:r>
      <w:r>
        <w:rPr>
          <w:rFonts w:ascii="Arial" w:cs="Arial" w:eastAsia="Arial" w:hAnsi="Arial"/>
          <w:sz w:val="21"/>
          <w:szCs w:val="21"/>
          <w:color w:val="auto"/>
        </w:rPr>
        <w:t xml:space="preserve"> In the event of a Qualifying Termination that occurs other than during the Change in Control Period, Executive will receive the following payments and benefits from the Company, subject to the requirements of this Agreement:</w:t>
      </w:r>
    </w:p>
    <w:p>
      <w:pPr>
        <w:spacing w:after="0" w:line="169" w:lineRule="exact"/>
        <w:rPr>
          <w:sz w:val="20"/>
          <w:szCs w:val="20"/>
          <w:color w:val="auto"/>
        </w:rPr>
      </w:pPr>
    </w:p>
    <w:p>
      <w:pPr>
        <w:ind w:left="3480" w:hanging="880"/>
        <w:spacing w:after="0" w:line="219" w:lineRule="exact"/>
        <w:tabs>
          <w:tab w:leader="none" w:pos="34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Salary Severance. A single, lump sum, cash payment equal to seventy</w:t>
      </w:r>
      <w:r>
        <w:rPr>
          <w:rFonts w:ascii="MS PGothic" w:cs="MS PGothic" w:eastAsia="MS PGothic" w:hAnsi="MS PGothic"/>
          <w:sz w:val="19"/>
          <w:szCs w:val="19"/>
          <w:color w:val="auto"/>
        </w:rPr>
        <w:t>‑</w:t>
      </w:r>
      <w:r>
        <w:rPr>
          <w:rFonts w:ascii="Arial" w:cs="Arial" w:eastAsia="Arial" w:hAnsi="Arial"/>
          <w:sz w:val="19"/>
          <w:szCs w:val="19"/>
          <w:color w:val="auto"/>
        </w:rPr>
        <w:t>five percent (75%)</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of Executive’s Salary.</w:t>
      </w:r>
    </w:p>
    <w:p>
      <w:pPr>
        <w:spacing w:after="0" w:line="195" w:lineRule="exact"/>
        <w:rPr>
          <w:sz w:val="20"/>
          <w:szCs w:val="20"/>
          <w:color w:val="auto"/>
        </w:rPr>
      </w:pPr>
    </w:p>
    <w:p>
      <w:pPr>
        <w:jc w:val="both"/>
        <w:ind w:firstLine="2600"/>
        <w:spacing w:after="0" w:line="244" w:lineRule="auto"/>
        <w:tabs>
          <w:tab w:leader="none" w:pos="3484" w:val="left"/>
        </w:tabs>
        <w:numPr>
          <w:ilvl w:val="0"/>
          <w:numId w:val="65"/>
        </w:numPr>
        <w:rPr>
          <w:rFonts w:ascii="Arial" w:cs="Arial" w:eastAsia="Arial" w:hAnsi="Arial"/>
          <w:sz w:val="21"/>
          <w:szCs w:val="21"/>
          <w:color w:val="auto"/>
        </w:rPr>
      </w:pPr>
      <w:r>
        <w:rPr>
          <w:rFonts w:ascii="Arial" w:cs="Arial" w:eastAsia="Arial" w:hAnsi="Arial"/>
          <w:sz w:val="21"/>
          <w:szCs w:val="21"/>
          <w:color w:val="auto"/>
        </w:rPr>
        <w:t>COBRA Severance. Subject to Executive timely electing continuation coverage under the Consolidated Omnibus Budget Reconciliation Act of 1985, as amended (“COBRA”) and further subject to Section 5.3, Executive will receive Company-paid group health, dental and vision coverage for Executive and any of Executive’s eligible dependents, as applicable (the “COBRA Severance”), following the Qualifying Termination until the earliest of: (i) nine (9)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183515</wp:posOffset>
            </wp:positionV>
            <wp:extent cx="717613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9" w:name="page100"/>
    <w:bookmarkEnd w:id="99"/>
    <w:p>
      <w:pPr>
        <w:jc w:val="both"/>
        <w:ind w:firstLine="1728"/>
        <w:spacing w:after="0" w:line="254"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Qualifying Termination During the Change in Control Period</w:t>
      </w:r>
      <w:r>
        <w:rPr>
          <w:rFonts w:ascii="Arial" w:cs="Arial" w:eastAsia="Arial" w:hAnsi="Arial"/>
          <w:sz w:val="21"/>
          <w:szCs w:val="21"/>
          <w:color w:val="auto"/>
        </w:rPr>
        <w:t>. In the event of a Qualifying Termination that occurs during the Change in Control Period, Executive will receive the following payments and benefits from the Company, subject to the requirements of this Agreement:</w:t>
      </w:r>
    </w:p>
    <w:p>
      <w:pPr>
        <w:spacing w:after="0" w:line="169" w:lineRule="exact"/>
        <w:rPr>
          <w:sz w:val="20"/>
          <w:szCs w:val="20"/>
          <w:color w:val="auto"/>
        </w:rPr>
      </w:pPr>
    </w:p>
    <w:p>
      <w:pPr>
        <w:ind w:left="3480" w:hanging="880"/>
        <w:spacing w:after="0"/>
        <w:tabs>
          <w:tab w:leader="none" w:pos="348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Salary  Severance</w:t>
      </w:r>
      <w:r>
        <w:rPr>
          <w:rFonts w:ascii="Arial" w:cs="Arial" w:eastAsia="Arial" w:hAnsi="Arial"/>
          <w:sz w:val="21"/>
          <w:szCs w:val="21"/>
          <w:color w:val="auto"/>
        </w:rPr>
        <w:t>.   A  single,  lump  sum,  cash  payment  equal  to  one  hundred</w:t>
      </w:r>
    </w:p>
    <w:p>
      <w:pPr>
        <w:spacing w:after="0" w:line="17"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percent (100%) of Executive’s Salary.</w:t>
      </w:r>
    </w:p>
    <w:p>
      <w:pPr>
        <w:spacing w:after="0" w:line="195" w:lineRule="exact"/>
        <w:rPr>
          <w:rFonts w:ascii="Arial" w:cs="Arial" w:eastAsia="Arial" w:hAnsi="Arial"/>
          <w:sz w:val="21"/>
          <w:szCs w:val="21"/>
          <w:color w:val="auto"/>
        </w:rPr>
      </w:pPr>
    </w:p>
    <w:p>
      <w:pPr>
        <w:ind w:firstLine="2600"/>
        <w:spacing w:after="0" w:line="270" w:lineRule="auto"/>
        <w:tabs>
          <w:tab w:leader="none" w:pos="3484"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Bonus Severance</w:t>
      </w:r>
      <w:r>
        <w:rPr>
          <w:rFonts w:ascii="Arial" w:cs="Arial" w:eastAsia="Arial" w:hAnsi="Arial"/>
          <w:sz w:val="21"/>
          <w:szCs w:val="21"/>
          <w:color w:val="auto"/>
        </w:rPr>
        <w:t>. A single, lump sum, cash payment equal to one hundred percent (100%) of Executive’s Target Bonus.</w:t>
      </w:r>
    </w:p>
    <w:p>
      <w:pPr>
        <w:spacing w:after="0" w:line="152" w:lineRule="exact"/>
        <w:rPr>
          <w:rFonts w:ascii="Arial" w:cs="Arial" w:eastAsia="Arial" w:hAnsi="Arial"/>
          <w:sz w:val="21"/>
          <w:szCs w:val="21"/>
          <w:color w:val="auto"/>
        </w:rPr>
      </w:pPr>
    </w:p>
    <w:p>
      <w:pPr>
        <w:jc w:val="both"/>
        <w:ind w:firstLine="2600"/>
        <w:spacing w:after="0" w:line="246" w:lineRule="auto"/>
        <w:tabs>
          <w:tab w:leader="none" w:pos="3472"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COBRA Severance</w:t>
      </w:r>
      <w:r>
        <w:rPr>
          <w:rFonts w:ascii="Arial" w:cs="Arial" w:eastAsia="Arial" w:hAnsi="Arial"/>
          <w:sz w:val="21"/>
          <w:szCs w:val="21"/>
          <w:color w:val="auto"/>
        </w:rPr>
        <w:t>. Subject to Executive timely electing continuation coverage under COBRA and further subject to Section 5.3, Executive will receive COBRA Severance until the earliest of: (i) twelve (12)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80" w:lineRule="exact"/>
        <w:rPr>
          <w:rFonts w:ascii="Arial" w:cs="Arial" w:eastAsia="Arial" w:hAnsi="Arial"/>
          <w:sz w:val="21"/>
          <w:szCs w:val="21"/>
          <w:color w:val="auto"/>
        </w:rPr>
      </w:pPr>
    </w:p>
    <w:p>
      <w:pPr>
        <w:ind w:firstLine="2600"/>
        <w:spacing w:after="0" w:line="295" w:lineRule="auto"/>
        <w:tabs>
          <w:tab w:leader="none" w:pos="3484"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Vesting Acceleration of Service-based Awards</w:t>
      </w:r>
      <w:r>
        <w:rPr>
          <w:rFonts w:ascii="Arial" w:cs="Arial" w:eastAsia="Arial" w:hAnsi="Arial"/>
          <w:sz w:val="20"/>
          <w:szCs w:val="20"/>
          <w:color w:val="auto"/>
        </w:rPr>
        <w:t>. Vesting acceleration of one hundred percent (100%) of any Service-based Awards that are outstanding and unvested as of the date of the Qualifying Termination.</w:t>
      </w:r>
    </w:p>
    <w:p>
      <w:pPr>
        <w:spacing w:after="0" w:line="130" w:lineRule="exact"/>
        <w:rPr>
          <w:sz w:val="20"/>
          <w:szCs w:val="20"/>
          <w:color w:val="auto"/>
        </w:rPr>
      </w:pPr>
    </w:p>
    <w:p>
      <w:pPr>
        <w:jc w:val="both"/>
        <w:ind w:firstLine="2593"/>
        <w:spacing w:after="0" w:line="257" w:lineRule="auto"/>
        <w:rPr>
          <w:sz w:val="20"/>
          <w:szCs w:val="20"/>
          <w:color w:val="auto"/>
        </w:rPr>
      </w:pPr>
      <w:r>
        <w:rPr>
          <w:rFonts w:ascii="Arial" w:cs="Arial" w:eastAsia="Arial" w:hAnsi="Arial"/>
          <w:sz w:val="20"/>
          <w:szCs w:val="20"/>
          <w:color w:val="auto"/>
        </w:rPr>
        <w:t>For the avoidance of doubt, in the event of Executive’s Qualifying Termination that occurs prior to a Change in Control, any then outstanding and unvested portion of Executive’s Awards will remain outstanding (and unvested) until the earlier of (x) one (1) month following the Qualifying Termination, or (y) a Change in Control that occurs within one (1) month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one (1) month following a Qualifying Termination, any unvested portion of Executive’s Awards automatically and permanently will be forfeited on the date one (1) month following the date of the Qualifying Termination without having vested.</w:t>
      </w:r>
    </w:p>
    <w:p>
      <w:pPr>
        <w:spacing w:after="0" w:line="170"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Termination Other Than a Qualifying Termination</w:t>
      </w:r>
      <w:r>
        <w:rPr>
          <w:rFonts w:ascii="Arial" w:cs="Arial" w:eastAsia="Arial" w:hAnsi="Arial"/>
          <w:sz w:val="21"/>
          <w:szCs w:val="21"/>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75"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Non-duplication of Payment or Benefits</w:t>
      </w:r>
      <w:r>
        <w:rPr>
          <w:rFonts w:ascii="Arial" w:cs="Arial" w:eastAsia="Arial" w:hAnsi="Arial"/>
          <w:sz w:val="21"/>
          <w:szCs w:val="21"/>
          <w:color w:val="auto"/>
        </w:rPr>
        <w:t>. For purposes of clarity, in the event of a Qualifying Termination that occurs during the period within one (1) month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00" w:name="page101"/>
    <w:bookmarkEnd w:id="100"/>
    <w:p>
      <w:pPr>
        <w:jc w:val="both"/>
        <w:spacing w:after="0" w:line="249" w:lineRule="auto"/>
        <w:rPr>
          <w:sz w:val="20"/>
          <w:szCs w:val="20"/>
          <w:color w:val="auto"/>
        </w:rPr>
      </w:pPr>
      <w:r>
        <w:rPr>
          <w:rFonts w:ascii="Arial" w:cs="Arial" w:eastAsia="Arial" w:hAnsi="Arial"/>
          <w:sz w:val="21"/>
          <w:szCs w:val="21"/>
          <w:color w:val="auto"/>
        </w:rPr>
        <w:t>Awards, or other severance or separation benefits similar to those provided under this Agreement, by operation of applicable law or under a plan, policy, contract, or arrangement sponsored by or to which the Company is a party other than this Agreement (“</w:t>
      </w:r>
      <w:r>
        <w:rPr>
          <w:rFonts w:ascii="Arial" w:cs="Arial" w:eastAsia="Arial" w:hAnsi="Arial"/>
          <w:sz w:val="21"/>
          <w:szCs w:val="21"/>
          <w:u w:val="single" w:color="auto"/>
          <w:color w:val="auto"/>
        </w:rPr>
        <w:t>Other Benefits</w:t>
      </w:r>
      <w:r>
        <w:rPr>
          <w:rFonts w:ascii="Arial" w:cs="Arial" w:eastAsia="Arial" w:hAnsi="Arial"/>
          <w:sz w:val="21"/>
          <w:szCs w:val="21"/>
          <w:color w:val="auto"/>
        </w:rPr>
        <w:t>”), then the corresponding severance payments and benefits under this Agreement will be reduced by the amount of Other Benefits paid or provided to Executive.</w:t>
      </w:r>
    </w:p>
    <w:p>
      <w:pPr>
        <w:spacing w:after="0" w:line="175" w:lineRule="exact"/>
        <w:rPr>
          <w:sz w:val="20"/>
          <w:szCs w:val="20"/>
          <w:color w:val="auto"/>
        </w:rPr>
      </w:pPr>
    </w:p>
    <w:p>
      <w:pPr>
        <w:jc w:val="both"/>
        <w:ind w:firstLine="1728"/>
        <w:spacing w:after="0" w:line="273"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Death of Executive</w:t>
      </w:r>
      <w:r>
        <w:rPr>
          <w:rFonts w:ascii="Arial" w:cs="Arial" w:eastAsia="Arial" w:hAnsi="Arial"/>
          <w:sz w:val="20"/>
          <w:szCs w:val="20"/>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51" w:lineRule="exact"/>
        <w:rPr>
          <w:sz w:val="20"/>
          <w:szCs w:val="20"/>
          <w:color w:val="auto"/>
        </w:rPr>
      </w:pPr>
    </w:p>
    <w:p>
      <w:pPr>
        <w:jc w:val="both"/>
        <w:ind w:firstLine="871"/>
        <w:spacing w:after="0" w:line="254" w:lineRule="auto"/>
        <w:tabs>
          <w:tab w:leader="none" w:pos="1666"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Accrued Compensation</w:t>
      </w:r>
      <w:r>
        <w:rPr>
          <w:rFonts w:ascii="Arial" w:cs="Arial" w:eastAsia="Arial" w:hAnsi="Arial"/>
          <w:sz w:val="21"/>
          <w:szCs w:val="21"/>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69" w:lineRule="exact"/>
        <w:rPr>
          <w:rFonts w:ascii="Arial" w:cs="Arial" w:eastAsia="Arial" w:hAnsi="Arial"/>
          <w:sz w:val="21"/>
          <w:szCs w:val="21"/>
          <w:color w:val="auto"/>
        </w:rPr>
      </w:pPr>
    </w:p>
    <w:p>
      <w:pPr>
        <w:ind w:left="1680" w:hanging="809"/>
        <w:spacing w:after="0"/>
        <w:tabs>
          <w:tab w:leader="none" w:pos="1680"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Conditions to Receipt of Severance</w:t>
      </w:r>
      <w:r>
        <w:rPr>
          <w:rFonts w:ascii="Arial" w:cs="Arial" w:eastAsia="Arial" w:hAnsi="Arial"/>
          <w:sz w:val="21"/>
          <w:szCs w:val="21"/>
          <w:color w:val="auto"/>
        </w:rPr>
        <w:t>.</w:t>
      </w:r>
    </w:p>
    <w:p>
      <w:pPr>
        <w:spacing w:after="0" w:line="213"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Separation Agreement and Release of Claims</w:t>
      </w:r>
      <w:r>
        <w:rPr>
          <w:rFonts w:ascii="Arial" w:cs="Arial" w:eastAsia="Arial" w:hAnsi="Arial"/>
          <w:sz w:val="21"/>
          <w:szCs w:val="21"/>
          <w:color w:val="auto"/>
        </w:rPr>
        <w:t>. Executive’s receipt of any severance payments or benefits upon a Qualifying Termination under Sections 3.1 and 3.2 is subject to Executive signing and not revoking the Company’s then standard separation agreement and release of claims with the Company (the “</w:t>
      </w:r>
      <w:r>
        <w:rPr>
          <w:rFonts w:ascii="Arial" w:cs="Arial" w:eastAsia="Arial" w:hAnsi="Arial"/>
          <w:sz w:val="21"/>
          <w:szCs w:val="21"/>
          <w:u w:val="single" w:color="auto"/>
          <w:color w:val="auto"/>
        </w:rPr>
        <w:t>Release</w:t>
      </w:r>
      <w:r>
        <w:rPr>
          <w:rFonts w:ascii="Arial" w:cs="Arial" w:eastAsia="Arial" w:hAnsi="Arial"/>
          <w:sz w:val="21"/>
          <w:szCs w:val="21"/>
          <w:color w:val="auto"/>
        </w:rPr>
        <w:t>”), which must become effective and irrevocable no later than the sixtieth (60</w:t>
      </w:r>
      <w:r>
        <w:rPr>
          <w:rFonts w:ascii="Arial" w:cs="Arial" w:eastAsia="Arial" w:hAnsi="Arial"/>
          <w:sz w:val="18"/>
          <w:szCs w:val="18"/>
          <w:color w:val="auto"/>
        </w:rPr>
        <w:t>th</w:t>
      </w:r>
      <w:r>
        <w:rPr>
          <w:rFonts w:ascii="Arial" w:cs="Arial" w:eastAsia="Arial" w:hAnsi="Arial"/>
          <w:sz w:val="21"/>
          <w:szCs w:val="21"/>
          <w:color w:val="auto"/>
        </w:rPr>
        <w:t>) day following the date of the Qualifying Termination (the “</w:t>
      </w:r>
      <w:r>
        <w:rPr>
          <w:rFonts w:ascii="Arial" w:cs="Arial" w:eastAsia="Arial" w:hAnsi="Arial"/>
          <w:sz w:val="21"/>
          <w:szCs w:val="21"/>
          <w:u w:val="single" w:color="auto"/>
          <w:color w:val="auto"/>
        </w:rPr>
        <w:t>Release Deadline Date</w:t>
      </w:r>
      <w:r>
        <w:rPr>
          <w:rFonts w:ascii="Arial" w:cs="Arial" w:eastAsia="Arial" w:hAnsi="Arial"/>
          <w:sz w:val="21"/>
          <w:szCs w:val="21"/>
          <w:color w:val="auto"/>
        </w:rPr>
        <w:t>”). If the Release does not become effective and irrevocable by the Release Deadline Date, Executive will forfeit any right to severance payments or benefits under Section 3.</w:t>
      </w:r>
    </w:p>
    <w:p>
      <w:pPr>
        <w:spacing w:after="0" w:line="179"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Payment Timing</w:t>
      </w:r>
      <w:r>
        <w:rPr>
          <w:rFonts w:ascii="Arial" w:cs="Arial" w:eastAsia="Arial" w:hAnsi="Arial"/>
          <w:sz w:val="20"/>
          <w:szCs w:val="20"/>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provided that any additional amounts of such cash severance payments that become payable as a result of a Change in Control occurring within one (1) month after Executive’s Qualifying Termination will be paid on the later of (x) the first regularly scheduled payroll date of the Company following the date the Release becomes effective and irrevocable, or (y) the date of the Change in Control, in each case subject to any delay required by Section 5.4 below. Any Service-based Awards that are restricted stock units, performance shares, performance units, and/or similar full value awards (“</w:t>
      </w:r>
      <w:r>
        <w:rPr>
          <w:rFonts w:ascii="Arial" w:cs="Arial" w:eastAsia="Arial" w:hAnsi="Arial"/>
          <w:sz w:val="20"/>
          <w:szCs w:val="20"/>
          <w:u w:val="single" w:color="auto"/>
          <w:color w:val="auto"/>
        </w:rPr>
        <w:t>Full Value Awards</w:t>
      </w:r>
      <w:r>
        <w:rPr>
          <w:rFonts w:ascii="Arial" w:cs="Arial" w:eastAsia="Arial" w:hAnsi="Arial"/>
          <w:sz w:val="20"/>
          <w:szCs w:val="20"/>
          <w:color w:val="auto"/>
        </w:rPr>
        <w:t>”) that accelerate vesting under Section 3.2(d) 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79"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COBRA Severance Limitations</w:t>
      </w:r>
      <w:r>
        <w:rPr>
          <w:rFonts w:ascii="Arial" w:cs="Arial" w:eastAsia="Arial" w:hAnsi="Arial"/>
          <w:sz w:val="21"/>
          <w:szCs w:val="21"/>
          <w:color w:val="auto"/>
        </w:rPr>
        <w:t>. If the Company determines in its sole discretion that it cannot provide the COBRA Severance without potentially violating, or being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01" w:name="page102"/>
    <w:bookmarkEnd w:id="101"/>
    <w:p>
      <w:pPr>
        <w:jc w:val="both"/>
        <w:spacing w:after="0" w:line="253" w:lineRule="auto"/>
        <w:rPr>
          <w:sz w:val="20"/>
          <w:szCs w:val="20"/>
          <w:color w:val="auto"/>
        </w:rPr>
      </w:pPr>
      <w:r>
        <w:rPr>
          <w:rFonts w:ascii="Arial" w:cs="Arial" w:eastAsia="Arial" w:hAnsi="Arial"/>
          <w:sz w:val="20"/>
          <w:szCs w:val="20"/>
          <w:color w:val="auto"/>
        </w:rPr>
        <w:t>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below in this Section 5.3), in an amount equal to the monthly COBRA premium that Executive would be required to pay to continue Executive’s group health coverage in effect on the date of the Qualifying Termination (which amount will be based on the premium rates applicable for the first month of COBRA Severance for Executive and any eligible dependents of Executive) (each, a “</w:t>
      </w:r>
      <w:r>
        <w:rPr>
          <w:rFonts w:ascii="Arial" w:cs="Arial" w:eastAsia="Arial" w:hAnsi="Arial"/>
          <w:sz w:val="20"/>
          <w:szCs w:val="20"/>
          <w:u w:val="single" w:color="auto"/>
          <w:color w:val="auto"/>
        </w:rPr>
        <w:t>COBRA Replacement Payment</w:t>
      </w:r>
      <w:r>
        <w:rPr>
          <w:rFonts w:ascii="Arial" w:cs="Arial" w:eastAsia="Arial" w:hAnsi="Arial"/>
          <w:sz w:val="20"/>
          <w:szCs w:val="20"/>
          <w:color w:val="auto"/>
        </w:rPr>
        <w:t>”),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(i) of Section (b) or Section (c), as applicable. For the avoidance of doubt, the COBRA Replacement Payments may be used for any purpose, including, but not limited to continuation coverage under COBRA, and will be subject to any applicable withholdings. Notwithstanding the foregoing, any COBRA Replacement Payments that otherwise would be payable prior to the date that the Release becomes effective and irrevocable shall be paid in a single lump sum on the first regularly scheduled payroll date of the Company following the date the Release becomes effective and irrevocable, and any remaining COBRA Replacement Payments will be paid in accordance with the schedule described further above in this Section 5.3, in each case subject to any delay required by Section 5.4 below).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82"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Section 409A</w:t>
      </w:r>
      <w:r>
        <w:rPr>
          <w:rFonts w:ascii="Arial" w:cs="Arial" w:eastAsia="Arial" w:hAnsi="Arial"/>
          <w:sz w:val="20"/>
          <w:szCs w:val="20"/>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Arial" w:cs="Arial" w:eastAsia="Arial" w:hAnsi="Arial"/>
          <w:sz w:val="20"/>
          <w:szCs w:val="20"/>
          <w:u w:val="single" w:color="auto"/>
          <w:color w:val="auto"/>
        </w:rPr>
        <w:t>Deferred Payments</w:t>
      </w:r>
      <w:r>
        <w:rPr>
          <w:rFonts w:ascii="Arial" w:cs="Arial" w:eastAsia="Arial" w:hAnsi="Arial"/>
          <w:sz w:val="20"/>
          <w:szCs w:val="20"/>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73" w:lineRule="exact"/>
        <w:rPr>
          <w:sz w:val="20"/>
          <w:szCs w:val="20"/>
          <w:color w:val="auto"/>
        </w:rPr>
      </w:pPr>
    </w:p>
    <w:p>
      <w:pPr>
        <w:jc w:val="both"/>
        <w:ind w:firstLine="2600"/>
        <w:spacing w:after="0" w:line="266" w:lineRule="auto"/>
        <w:tabs>
          <w:tab w:leader="none" w:pos="3472" w:val="left"/>
        </w:tabs>
        <w:numPr>
          <w:ilvl w:val="0"/>
          <w:numId w:val="68"/>
        </w:numPr>
        <w:rPr>
          <w:rFonts w:ascii="Arial" w:cs="Arial" w:eastAsia="Arial" w:hAnsi="Arial"/>
          <w:sz w:val="20"/>
          <w:szCs w:val="20"/>
          <w:color w:val="auto"/>
        </w:rPr>
      </w:pPr>
      <w:r>
        <w:rPr>
          <w:rFonts w:ascii="Arial" w:cs="Arial" w:eastAsia="Arial" w:hAnsi="Arial"/>
          <w:sz w:val="20"/>
          <w:szCs w:val="20"/>
          <w:color w:val="auto"/>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57" w:lineRule="exact"/>
        <w:rPr>
          <w:rFonts w:ascii="Arial" w:cs="Arial" w:eastAsia="Arial" w:hAnsi="Arial"/>
          <w:sz w:val="20"/>
          <w:szCs w:val="20"/>
          <w:color w:val="auto"/>
        </w:rPr>
      </w:pPr>
    </w:p>
    <w:p>
      <w:pPr>
        <w:ind w:firstLine="2600"/>
        <w:spacing w:after="0" w:line="270" w:lineRule="auto"/>
        <w:tabs>
          <w:tab w:leader="none" w:pos="3484" w:val="left"/>
        </w:tabs>
        <w:numPr>
          <w:ilvl w:val="0"/>
          <w:numId w:val="68"/>
        </w:numPr>
        <w:rPr>
          <w:rFonts w:ascii="Arial" w:cs="Arial" w:eastAsia="Arial" w:hAnsi="Arial"/>
          <w:sz w:val="21"/>
          <w:szCs w:val="21"/>
          <w:color w:val="auto"/>
        </w:rPr>
      </w:pPr>
      <w:r>
        <w:rPr>
          <w:rFonts w:ascii="Arial" w:cs="Arial" w:eastAsia="Arial" w:hAnsi="Arial"/>
          <w:sz w:val="21"/>
          <w:szCs w:val="21"/>
          <w:color w:val="auto"/>
        </w:rPr>
        <w:t>Notwithstanding any provisions to the contrary in this Agreement, if Executive is a “specified employee” within the meaning of Section 409A at the time of</w:t>
      </w:r>
    </w:p>
    <w:p>
      <w:pPr>
        <w:spacing w:after="0" w:line="366" w:lineRule="exact"/>
        <w:rPr>
          <w:rFonts w:ascii="Arial" w:cs="Arial" w:eastAsia="Arial" w:hAnsi="Arial"/>
          <w:sz w:val="21"/>
          <w:szCs w:val="21"/>
          <w:color w:val="auto"/>
        </w:rPr>
      </w:pPr>
    </w:p>
    <w:p>
      <w:pPr>
        <w:ind w:left="5580" w:hanging="134"/>
        <w:spacing w:after="0"/>
        <w:tabs>
          <w:tab w:leader="none" w:pos="5580" w:val="left"/>
        </w:tabs>
        <w:numPr>
          <w:ilvl w:val="1"/>
          <w:numId w:val="68"/>
        </w:numPr>
        <w:rPr>
          <w:rFonts w:ascii="Arial" w:cs="Arial" w:eastAsia="Arial" w:hAnsi="Arial"/>
          <w:sz w:val="21"/>
          <w:szCs w:val="21"/>
          <w:color w:val="auto"/>
        </w:rPr>
      </w:pPr>
      <w:r>
        <w:rPr>
          <w:rFonts w:ascii="Arial" w:cs="Arial" w:eastAsia="Arial" w:hAnsi="Arial"/>
          <w:sz w:val="21"/>
          <w:szCs w:val="21"/>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02" w:name="page103"/>
    <w:bookmarkEnd w:id="102"/>
    <w:p>
      <w:pPr>
        <w:jc w:val="both"/>
        <w:spacing w:after="0" w:line="271" w:lineRule="auto"/>
        <w:rPr>
          <w:sz w:val="20"/>
          <w:szCs w:val="20"/>
          <w:color w:val="auto"/>
        </w:rPr>
      </w:pPr>
      <w:r>
        <w:rPr>
          <w:rFonts w:ascii="Arial" w:cs="Arial" w:eastAsia="Arial" w:hAnsi="Arial"/>
          <w:sz w:val="19"/>
          <w:szCs w:val="19"/>
          <w:color w:val="auto"/>
        </w:rPr>
        <w:t>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subsection (b)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p>
    <w:p>
      <w:pPr>
        <w:spacing w:after="0" w:line="160" w:lineRule="exact"/>
        <w:rPr>
          <w:sz w:val="20"/>
          <w:szCs w:val="20"/>
          <w:color w:val="auto"/>
        </w:rPr>
      </w:pPr>
    </w:p>
    <w:p>
      <w:pPr>
        <w:jc w:val="both"/>
        <w:ind w:firstLine="2600"/>
        <w:spacing w:after="0" w:line="256" w:lineRule="auto"/>
        <w:tabs>
          <w:tab w:leader="none" w:pos="3472"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72" w:lineRule="exact"/>
        <w:rPr>
          <w:rFonts w:ascii="Arial" w:cs="Arial" w:eastAsia="Arial" w:hAnsi="Arial"/>
          <w:sz w:val="20"/>
          <w:szCs w:val="20"/>
          <w:color w:val="auto"/>
        </w:rPr>
      </w:pPr>
    </w:p>
    <w:p>
      <w:pPr>
        <w:ind w:left="1680" w:hanging="809"/>
        <w:spacing w:after="0"/>
        <w:tabs>
          <w:tab w:leader="none" w:pos="168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Limitation on Payments.</w:t>
      </w:r>
    </w:p>
    <w:p>
      <w:pPr>
        <w:spacing w:after="0" w:line="213" w:lineRule="exact"/>
        <w:rPr>
          <w:sz w:val="20"/>
          <w:szCs w:val="20"/>
          <w:color w:val="auto"/>
        </w:rPr>
      </w:pPr>
    </w:p>
    <w:p>
      <w:pPr>
        <w:ind w:firstLine="1728"/>
        <w:spacing w:after="0" w:line="260"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Reduction of Severance Benefits</w:t>
      </w:r>
      <w:r>
        <w:rPr>
          <w:rFonts w:ascii="Arial" w:cs="Arial" w:eastAsia="Arial" w:hAnsi="Arial"/>
          <w:sz w:val="20"/>
          <w:szCs w:val="20"/>
          <w:color w:val="auto"/>
        </w:rPr>
        <w:t>. If any payment or benefit that Executive would receive from the Company or any other party whether in connection with the provisions in this Agreement or otherwise (the “</w:t>
      </w:r>
      <w:r>
        <w:rPr>
          <w:rFonts w:ascii="Arial" w:cs="Arial" w:eastAsia="Arial" w:hAnsi="Arial"/>
          <w:sz w:val="20"/>
          <w:szCs w:val="20"/>
          <w:u w:val="single" w:color="auto"/>
          <w:color w:val="auto"/>
        </w:rPr>
        <w:t>Payments</w:t>
      </w:r>
      <w:r>
        <w:rPr>
          <w:rFonts w:ascii="Arial" w:cs="Arial" w:eastAsia="Arial" w:hAnsi="Arial"/>
          <w:sz w:val="20"/>
          <w:szCs w:val="20"/>
          <w:color w:val="auto"/>
        </w:rPr>
        <w:t>”) would</w:t>
      </w:r>
    </w:p>
    <w:p>
      <w:pPr>
        <w:spacing w:after="0" w:line="1" w:lineRule="exact"/>
        <w:rPr>
          <w:sz w:val="20"/>
          <w:szCs w:val="20"/>
          <w:color w:val="auto"/>
        </w:rPr>
      </w:pPr>
    </w:p>
    <w:p>
      <w:pPr>
        <w:jc w:val="both"/>
        <w:ind w:firstLine="7"/>
        <w:spacing w:after="0" w:line="253" w:lineRule="auto"/>
        <w:tabs>
          <w:tab w:leader="none" w:pos="302" w:val="left"/>
        </w:tabs>
        <w:numPr>
          <w:ilvl w:val="0"/>
          <w:numId w:val="71"/>
        </w:numPr>
        <w:rPr>
          <w:rFonts w:ascii="Arial" w:cs="Arial" w:eastAsia="Arial" w:hAnsi="Arial"/>
          <w:sz w:val="20"/>
          <w:szCs w:val="20"/>
          <w:color w:val="auto"/>
        </w:rPr>
      </w:pPr>
      <w:r>
        <w:rPr>
          <w:rFonts w:ascii="Arial" w:cs="Arial" w:eastAsia="Arial" w:hAnsi="Arial"/>
          <w:sz w:val="20"/>
          <w:szCs w:val="20"/>
          <w:color w:val="auto"/>
        </w:rPr>
        <w:t>constitute a “parachute payment” within the meaning of Section 280G of the Code and (b) but for this sentence, be subject to the excise tax imposed by Section 4999 of the Code (the “</w:t>
      </w:r>
      <w:r>
        <w:rPr>
          <w:rFonts w:ascii="Arial" w:cs="Arial" w:eastAsia="Arial" w:hAnsi="Arial"/>
          <w:sz w:val="20"/>
          <w:szCs w:val="20"/>
          <w:u w:val="single" w:color="auto"/>
          <w:color w:val="auto"/>
        </w:rPr>
        <w:t>Excise Tax</w:t>
      </w:r>
      <w:r>
        <w:rPr>
          <w:rFonts w:ascii="Arial" w:cs="Arial" w:eastAsia="Arial" w:hAnsi="Arial"/>
          <w:sz w:val="20"/>
          <w:szCs w:val="20"/>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w:t>
      </w:r>
    </w:p>
    <w:p>
      <w:pPr>
        <w:spacing w:after="0" w:line="387" w:lineRule="exact"/>
        <w:rPr>
          <w:rFonts w:ascii="Arial" w:cs="Arial" w:eastAsia="Arial" w:hAnsi="Arial"/>
          <w:sz w:val="20"/>
          <w:szCs w:val="20"/>
          <w:color w:val="auto"/>
        </w:rPr>
      </w:pPr>
    </w:p>
    <w:p>
      <w:pPr>
        <w:ind w:left="5580" w:hanging="134"/>
        <w:spacing w:after="0"/>
        <w:tabs>
          <w:tab w:leader="none" w:pos="5580" w:val="left"/>
        </w:tabs>
        <w:numPr>
          <w:ilvl w:val="1"/>
          <w:numId w:val="71"/>
        </w:numPr>
        <w:rPr>
          <w:rFonts w:ascii="Arial" w:cs="Arial" w:eastAsia="Arial" w:hAnsi="Arial"/>
          <w:sz w:val="21"/>
          <w:szCs w:val="21"/>
          <w:color w:val="auto"/>
        </w:rPr>
      </w:pPr>
      <w:r>
        <w:rPr>
          <w:rFonts w:ascii="Arial" w:cs="Arial" w:eastAsia="Arial" w:hAnsi="Arial"/>
          <w:sz w:val="21"/>
          <w:szCs w:val="21"/>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03" w:name="page104"/>
    <w:bookmarkEnd w:id="103"/>
    <w:p>
      <w:pPr>
        <w:jc w:val="both"/>
        <w:spacing w:after="0" w:line="260" w:lineRule="auto"/>
        <w:rPr>
          <w:sz w:val="20"/>
          <w:szCs w:val="20"/>
          <w:color w:val="auto"/>
        </w:rPr>
      </w:pPr>
      <w:r>
        <w:rPr>
          <w:rFonts w:ascii="Arial" w:cs="Arial" w:eastAsia="Arial" w:hAnsi="Arial"/>
          <w:sz w:val="20"/>
          <w:szCs w:val="20"/>
          <w:color w:val="auto"/>
        </w:rPr>
        <w:t>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63" w:lineRule="exact"/>
        <w:rPr>
          <w:sz w:val="20"/>
          <w:szCs w:val="20"/>
          <w:color w:val="auto"/>
        </w:rPr>
      </w:pPr>
    </w:p>
    <w:p>
      <w:pPr>
        <w:jc w:val="both"/>
        <w:ind w:firstLine="1728"/>
        <w:spacing w:after="0" w:line="271"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Determination of Excise Tax Liability</w:t>
      </w:r>
      <w:r>
        <w:rPr>
          <w:rFonts w:ascii="Arial" w:cs="Arial" w:eastAsia="Arial" w:hAnsi="Arial"/>
          <w:sz w:val="19"/>
          <w:szCs w:val="19"/>
          <w:color w:val="auto"/>
        </w:rPr>
        <w:t>. Unless the Company and Executive otherwise agree in writing, any determinations required under this Section 6 will be made in writing by a nationally recognized accounting or valuation firm (the “</w:t>
      </w:r>
      <w:r>
        <w:rPr>
          <w:rFonts w:ascii="Arial" w:cs="Arial" w:eastAsia="Arial" w:hAnsi="Arial"/>
          <w:sz w:val="19"/>
          <w:szCs w:val="19"/>
          <w:u w:val="single" w:color="auto"/>
          <w:color w:val="auto"/>
        </w:rPr>
        <w:t>Firm</w:t>
      </w:r>
      <w:r>
        <w:rPr>
          <w:rFonts w:ascii="Arial" w:cs="Arial" w:eastAsia="Arial" w:hAnsi="Arial"/>
          <w:sz w:val="19"/>
          <w:szCs w:val="19"/>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60" w:lineRule="exact"/>
        <w:rPr>
          <w:sz w:val="20"/>
          <w:szCs w:val="20"/>
          <w:color w:val="auto"/>
        </w:rPr>
      </w:pPr>
    </w:p>
    <w:p>
      <w:pPr>
        <w:ind w:left="1680" w:hanging="809"/>
        <w:spacing w:after="0"/>
        <w:tabs>
          <w:tab w:leader="none" w:pos="1680"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The following terms referred to in this Agreement will have the following meanings:</w:t>
      </w:r>
    </w:p>
    <w:p>
      <w:pPr>
        <w:spacing w:after="0" w:line="213"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21"/>
          <w:szCs w:val="21"/>
          <w:color w:val="auto"/>
        </w:rPr>
        <w:t>7.1. “</w:t>
      </w:r>
      <w:r>
        <w:rPr>
          <w:rFonts w:ascii="Arial" w:cs="Arial" w:eastAsia="Arial" w:hAnsi="Arial"/>
          <w:sz w:val="21"/>
          <w:szCs w:val="21"/>
          <w:u w:val="single" w:color="auto"/>
          <w:color w:val="auto"/>
        </w:rPr>
        <w:t>Award</w:t>
      </w:r>
      <w:r>
        <w:rPr>
          <w:rFonts w:ascii="Arial" w:cs="Arial" w:eastAsia="Arial" w:hAnsi="Arial"/>
          <w:sz w:val="21"/>
          <w:szCs w:val="21"/>
          <w:color w:val="auto"/>
        </w:rPr>
        <w:t>” means stock options and other equity awards covering shares of Company common stock granted to Executive.</w:t>
      </w:r>
    </w:p>
    <w:p>
      <w:pPr>
        <w:spacing w:after="0" w:line="152" w:lineRule="exact"/>
        <w:rPr>
          <w:sz w:val="20"/>
          <w:szCs w:val="20"/>
          <w:color w:val="auto"/>
        </w:rPr>
      </w:pPr>
    </w:p>
    <w:p>
      <w:pPr>
        <w:ind w:left="1740"/>
        <w:spacing w:after="0"/>
        <w:tabs>
          <w:tab w:leader="none" w:pos="268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Company’s Board of Directors.</w:t>
      </w:r>
    </w:p>
    <w:p>
      <w:pPr>
        <w:spacing w:after="0" w:line="213"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19"/>
          <w:szCs w:val="19"/>
          <w:color w:val="auto"/>
        </w:rPr>
        <w:t>7.3. “</w:t>
      </w:r>
      <w:r>
        <w:rPr>
          <w:rFonts w:ascii="Arial" w:cs="Arial" w:eastAsia="Arial" w:hAnsi="Arial"/>
          <w:sz w:val="19"/>
          <w:szCs w:val="19"/>
          <w:u w:val="single" w:color="auto"/>
          <w:color w:val="auto"/>
        </w:rPr>
        <w:t>Cause</w:t>
      </w:r>
      <w:r>
        <w:rPr>
          <w:rFonts w:ascii="Arial" w:cs="Arial" w:eastAsia="Arial" w:hAnsi="Arial"/>
          <w:sz w:val="19"/>
          <w:szCs w:val="19"/>
          <w:color w:val="auto"/>
        </w:rPr>
        <w:t>” means Executive’s: (a) indictment or conviction of any felony or any crime involving dishonesty or moral turpitude; (b) participation in any fraud against the Company or other dishonesty which is not the result of an innocent or inadvertent mistake by Executive with respect to the Company; (c) willful violation of Executive’s obligations to the Company after there has been delivered to Executive a written demand for performance from the Board which describes the basis for the Board’s belief that Executive has not substantially satisfied Executive’s obligations to the Company; (d) continued violation or breach of any material written Company policy, agreement with the Company, or any statutory or fiduciary duty to the Company after there has been delivered to you a written notification of such violation or breach; or (e) damaging or misappropriating or attempting to damage or misappropriate any property, including intellectual property, of the Company.</w:t>
      </w:r>
    </w:p>
    <w:p>
      <w:pPr>
        <w:spacing w:after="0" w:line="159" w:lineRule="exact"/>
        <w:rPr>
          <w:sz w:val="20"/>
          <w:szCs w:val="20"/>
          <w:color w:val="auto"/>
        </w:rPr>
      </w:pPr>
    </w:p>
    <w:p>
      <w:pPr>
        <w:ind w:left="1740"/>
        <w:spacing w:after="0"/>
        <w:tabs>
          <w:tab w:leader="none" w:pos="2680" w:val="left"/>
        </w:tabs>
        <w:rPr>
          <w:sz w:val="20"/>
          <w:szCs w:val="20"/>
          <w:color w:val="auto"/>
        </w:rPr>
      </w:pPr>
      <w:r>
        <w:rPr>
          <w:rFonts w:ascii="Arial" w:cs="Arial" w:eastAsia="Arial" w:hAnsi="Arial"/>
          <w:sz w:val="21"/>
          <w:szCs w:val="21"/>
          <w:color w:val="auto"/>
        </w:rPr>
        <w:t>7.4.</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the first occurrence of any of the following events on or after the</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Effective Date:</w:t>
      </w:r>
    </w:p>
    <w:p>
      <w:pPr>
        <w:spacing w:after="0" w:line="195" w:lineRule="exact"/>
        <w:rPr>
          <w:sz w:val="20"/>
          <w:szCs w:val="20"/>
          <w:color w:val="auto"/>
        </w:rPr>
      </w:pPr>
    </w:p>
    <w:p>
      <w:pPr>
        <w:ind w:right="20" w:firstLine="2600"/>
        <w:spacing w:after="0" w:line="270" w:lineRule="auto"/>
        <w:tabs>
          <w:tab w:leader="none" w:pos="3472"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Change in Ownership of the Company</w:t>
      </w:r>
      <w:r>
        <w:rPr>
          <w:rFonts w:ascii="Arial" w:cs="Arial" w:eastAsia="Arial" w:hAnsi="Arial"/>
          <w:sz w:val="21"/>
          <w:szCs w:val="21"/>
          <w:color w:val="auto"/>
        </w:rPr>
        <w:t>. A change in the ownership of the Company which occurs on the date that any one person, or more than one person acting as</w:t>
      </w:r>
    </w:p>
    <w:p>
      <w:pPr>
        <w:spacing w:after="0" w:line="366" w:lineRule="exact"/>
        <w:rPr>
          <w:rFonts w:ascii="Arial" w:cs="Arial" w:eastAsia="Arial" w:hAnsi="Arial"/>
          <w:sz w:val="21"/>
          <w:szCs w:val="21"/>
          <w:color w:val="auto"/>
        </w:rPr>
      </w:pPr>
    </w:p>
    <w:p>
      <w:pPr>
        <w:ind w:left="5580" w:hanging="134"/>
        <w:spacing w:after="0"/>
        <w:tabs>
          <w:tab w:leader="none" w:pos="5580" w:val="left"/>
        </w:tabs>
        <w:numPr>
          <w:ilvl w:val="1"/>
          <w:numId w:val="73"/>
        </w:numPr>
        <w:rPr>
          <w:rFonts w:ascii="Arial" w:cs="Arial" w:eastAsia="Arial" w:hAnsi="Arial"/>
          <w:sz w:val="21"/>
          <w:szCs w:val="21"/>
          <w:color w:val="auto"/>
        </w:rPr>
      </w:pPr>
      <w:r>
        <w:rPr>
          <w:rFonts w:ascii="Arial" w:cs="Arial" w:eastAsia="Arial" w:hAnsi="Arial"/>
          <w:sz w:val="21"/>
          <w:szCs w:val="21"/>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04" w:name="page105"/>
    <w:bookmarkEnd w:id="104"/>
    <w:p>
      <w:pPr>
        <w:jc w:val="both"/>
        <w:spacing w:after="0" w:line="254" w:lineRule="auto"/>
        <w:rPr>
          <w:sz w:val="20"/>
          <w:szCs w:val="20"/>
          <w:color w:val="auto"/>
        </w:rPr>
      </w:pPr>
      <w:r>
        <w:rPr>
          <w:rFonts w:ascii="Arial" w:cs="Arial" w:eastAsia="Arial" w:hAnsi="Arial"/>
          <w:sz w:val="20"/>
          <w:szCs w:val="20"/>
          <w:color w:val="auto"/>
        </w:rPr>
        <w:t>a group (“</w:t>
      </w:r>
      <w:r>
        <w:rPr>
          <w:rFonts w:ascii="Arial" w:cs="Arial" w:eastAsia="Arial" w:hAnsi="Arial"/>
          <w:sz w:val="20"/>
          <w:szCs w:val="20"/>
          <w:u w:val="single" w:color="auto"/>
          <w:color w:val="auto"/>
        </w:rPr>
        <w:t>Person</w:t>
      </w:r>
      <w:r>
        <w:rPr>
          <w:rFonts w:ascii="Arial" w:cs="Arial" w:eastAsia="Arial" w:hAnsi="Arial"/>
          <w:sz w:val="20"/>
          <w:szCs w:val="20"/>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(a).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9" w:lineRule="exact"/>
        <w:rPr>
          <w:sz w:val="20"/>
          <w:szCs w:val="20"/>
          <w:color w:val="auto"/>
        </w:rPr>
      </w:pPr>
    </w:p>
    <w:p>
      <w:pPr>
        <w:jc w:val="both"/>
        <w:ind w:firstLine="2600"/>
        <w:spacing w:after="0" w:line="276" w:lineRule="auto"/>
        <w:tabs>
          <w:tab w:leader="none" w:pos="3484"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Change in Effective Control of the Company</w:t>
      </w:r>
      <w:r>
        <w:rPr>
          <w:rFonts w:ascii="Arial" w:cs="Arial" w:eastAsia="Arial" w:hAnsi="Arial"/>
          <w:sz w:val="19"/>
          <w:szCs w:val="19"/>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50" w:lineRule="exact"/>
        <w:rPr>
          <w:rFonts w:ascii="Arial" w:cs="Arial" w:eastAsia="Arial" w:hAnsi="Arial"/>
          <w:sz w:val="19"/>
          <w:szCs w:val="19"/>
          <w:color w:val="auto"/>
        </w:rPr>
      </w:pPr>
    </w:p>
    <w:p>
      <w:pPr>
        <w:jc w:val="both"/>
        <w:ind w:firstLine="2600"/>
        <w:spacing w:after="0" w:line="269" w:lineRule="auto"/>
        <w:tabs>
          <w:tab w:leader="none" w:pos="3472"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Change in Ownership of a Substantial Portion of the Company’s Assets</w:t>
      </w:r>
      <w:r>
        <w:rPr>
          <w:rFonts w:ascii="Arial" w:cs="Arial" w:eastAsia="Arial" w:hAnsi="Arial"/>
          <w:sz w:val="19"/>
          <w:szCs w:val="19"/>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369" w:lineRule="exact"/>
        <w:rPr>
          <w:rFonts w:ascii="Arial" w:cs="Arial" w:eastAsia="Arial" w:hAnsi="Arial"/>
          <w:sz w:val="19"/>
          <w:szCs w:val="19"/>
          <w:color w:val="auto"/>
        </w:rPr>
      </w:pPr>
    </w:p>
    <w:p>
      <w:pPr>
        <w:ind w:left="5580" w:hanging="134"/>
        <w:spacing w:after="0"/>
        <w:tabs>
          <w:tab w:leader="none" w:pos="5580" w:val="left"/>
        </w:tabs>
        <w:numPr>
          <w:ilvl w:val="1"/>
          <w:numId w:val="74"/>
        </w:numPr>
        <w:rPr>
          <w:rFonts w:ascii="Arial" w:cs="Arial" w:eastAsia="Arial" w:hAnsi="Arial"/>
          <w:sz w:val="21"/>
          <w:szCs w:val="21"/>
          <w:color w:val="auto"/>
        </w:rPr>
      </w:pPr>
      <w:r>
        <w:rPr>
          <w:rFonts w:ascii="Arial" w:cs="Arial" w:eastAsia="Arial" w:hAnsi="Arial"/>
          <w:sz w:val="21"/>
          <w:szCs w:val="21"/>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05" w:name="page106"/>
    <w:bookmarkEnd w:id="105"/>
    <w:p>
      <w:pPr>
        <w:jc w:val="both"/>
        <w:ind w:firstLine="2593"/>
        <w:spacing w:after="0" w:line="254" w:lineRule="auto"/>
        <w:rPr>
          <w:sz w:val="20"/>
          <w:szCs w:val="20"/>
          <w:color w:val="auto"/>
        </w:rPr>
      </w:pPr>
      <w:r>
        <w:rPr>
          <w:rFonts w:ascii="Arial" w:cs="Arial" w:eastAsia="Arial" w:hAnsi="Arial"/>
          <w:sz w:val="21"/>
          <w:szCs w:val="21"/>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9" w:lineRule="exact"/>
        <w:rPr>
          <w:sz w:val="20"/>
          <w:szCs w:val="20"/>
          <w:color w:val="auto"/>
        </w:rPr>
      </w:pPr>
    </w:p>
    <w:p>
      <w:pPr>
        <w:jc w:val="both"/>
        <w:ind w:firstLine="2593"/>
        <w:spacing w:after="0" w:line="246"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80" w:lineRule="exact"/>
        <w:rPr>
          <w:sz w:val="20"/>
          <w:szCs w:val="20"/>
          <w:color w:val="auto"/>
        </w:rPr>
      </w:pPr>
    </w:p>
    <w:p>
      <w:pPr>
        <w:jc w:val="both"/>
        <w:ind w:right="20" w:firstLine="1728"/>
        <w:spacing w:after="0" w:line="270" w:lineRule="auto"/>
        <w:rPr>
          <w:sz w:val="20"/>
          <w:szCs w:val="20"/>
          <w:color w:val="auto"/>
        </w:rPr>
      </w:pPr>
      <w:r>
        <w:rPr>
          <w:rFonts w:ascii="Arial" w:cs="Arial" w:eastAsia="Arial" w:hAnsi="Arial"/>
          <w:sz w:val="21"/>
          <w:szCs w:val="21"/>
          <w:color w:val="auto"/>
        </w:rPr>
        <w:t>7.5. “</w:t>
      </w:r>
      <w:r>
        <w:rPr>
          <w:rFonts w:ascii="Arial" w:cs="Arial" w:eastAsia="Arial" w:hAnsi="Arial"/>
          <w:sz w:val="21"/>
          <w:szCs w:val="21"/>
          <w:u w:val="single" w:color="auto"/>
          <w:color w:val="auto"/>
        </w:rPr>
        <w:t>Change in Control Period</w:t>
      </w:r>
      <w:r>
        <w:rPr>
          <w:rFonts w:ascii="Arial" w:cs="Arial" w:eastAsia="Arial" w:hAnsi="Arial"/>
          <w:sz w:val="21"/>
          <w:szCs w:val="21"/>
          <w:color w:val="auto"/>
        </w:rPr>
        <w:t>” means the period beginning on the date one (1) month prior to a Change in Control and ending on (and inclusive of) the date that is the one (1) year anniversary of a Change in Control.</w:t>
      </w:r>
    </w:p>
    <w:p>
      <w:pPr>
        <w:spacing w:after="0" w:line="152"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7.6. “</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75" w:lineRule="exact"/>
        <w:rPr>
          <w:sz w:val="20"/>
          <w:szCs w:val="20"/>
          <w:color w:val="auto"/>
        </w:rPr>
      </w:pPr>
    </w:p>
    <w:p>
      <w:pPr>
        <w:jc w:val="both"/>
        <w:ind w:right="20" w:firstLine="1728"/>
        <w:spacing w:after="0" w:line="270" w:lineRule="auto"/>
        <w:rPr>
          <w:sz w:val="20"/>
          <w:szCs w:val="20"/>
          <w:color w:val="auto"/>
        </w:rPr>
      </w:pPr>
      <w:r>
        <w:rPr>
          <w:rFonts w:ascii="Arial" w:cs="Arial" w:eastAsia="Arial" w:hAnsi="Arial"/>
          <w:sz w:val="21"/>
          <w:szCs w:val="21"/>
          <w:color w:val="auto"/>
        </w:rPr>
        <w:t>7.7. “</w:t>
      </w: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 means Executive’s At-will Employment, Confidential Information, Invention Assignment, and Arbitration Agreement entered into with the Company dated June 14, 2021.</w:t>
      </w:r>
    </w:p>
    <w:p>
      <w:pPr>
        <w:spacing w:after="0" w:line="152" w:lineRule="exact"/>
        <w:rPr>
          <w:sz w:val="20"/>
          <w:szCs w:val="20"/>
          <w:color w:val="auto"/>
        </w:rPr>
      </w:pPr>
    </w:p>
    <w:p>
      <w:pPr>
        <w:ind w:left="1740"/>
        <w:spacing w:after="0"/>
        <w:tabs>
          <w:tab w:leader="none" w:pos="2680" w:val="left"/>
        </w:tabs>
        <w:rPr>
          <w:sz w:val="20"/>
          <w:szCs w:val="20"/>
          <w:color w:val="auto"/>
        </w:rPr>
      </w:pPr>
      <w:r>
        <w:rPr>
          <w:rFonts w:ascii="Arial" w:cs="Arial" w:eastAsia="Arial" w:hAnsi="Arial"/>
          <w:sz w:val="21"/>
          <w:szCs w:val="21"/>
          <w:color w:val="auto"/>
        </w:rPr>
        <w:t>7.8.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Director</w:t>
      </w:r>
      <w:r>
        <w:rPr>
          <w:rFonts w:ascii="Arial" w:cs="Arial" w:eastAsia="Arial" w:hAnsi="Arial"/>
          <w:sz w:val="19"/>
          <w:szCs w:val="19"/>
          <w:color w:val="auto"/>
        </w:rPr>
        <w:t>” means a member of the Board.</w:t>
      </w:r>
    </w:p>
    <w:p>
      <w:pPr>
        <w:spacing w:after="0" w:line="213" w:lineRule="exact"/>
        <w:rPr>
          <w:sz w:val="20"/>
          <w:szCs w:val="20"/>
          <w:color w:val="auto"/>
        </w:rPr>
      </w:pPr>
    </w:p>
    <w:p>
      <w:pPr>
        <w:ind w:left="1740"/>
        <w:spacing w:after="0"/>
        <w:tabs>
          <w:tab w:leader="none" w:pos="2680" w:val="left"/>
        </w:tabs>
        <w:rPr>
          <w:sz w:val="20"/>
          <w:szCs w:val="20"/>
          <w:color w:val="auto"/>
        </w:rPr>
      </w:pPr>
      <w:r>
        <w:rPr>
          <w:rFonts w:ascii="Arial" w:cs="Arial" w:eastAsia="Arial" w:hAnsi="Arial"/>
          <w:sz w:val="21"/>
          <w:szCs w:val="21"/>
          <w:color w:val="auto"/>
        </w:rPr>
        <w:t>7.9.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total and permanent disability as defined in Code Section 22(e)(3).</w:t>
      </w:r>
    </w:p>
    <w:p>
      <w:pPr>
        <w:spacing w:after="0" w:line="213"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7.10. “</w:t>
      </w:r>
      <w:r>
        <w:rPr>
          <w:rFonts w:ascii="Arial" w:cs="Arial" w:eastAsia="Arial" w:hAnsi="Arial"/>
          <w:sz w:val="20"/>
          <w:szCs w:val="20"/>
          <w:u w:val="single" w:color="auto"/>
          <w:color w:val="auto"/>
        </w:rPr>
        <w:t>Good Reason</w:t>
      </w:r>
      <w:r>
        <w:rPr>
          <w:rFonts w:ascii="Arial" w:cs="Arial" w:eastAsia="Arial" w:hAnsi="Arial"/>
          <w:sz w:val="20"/>
          <w:szCs w:val="20"/>
          <w:color w:val="auto"/>
        </w:rPr>
        <w:t>” means Executive’s termination of Executive’s employment with the Company within thirty (30) days following the end of the Company’s Cure Period (as defined below) as a result of the occurrence of any of the following without Executive’s written consent: (a) a material reduction in Executive’s duties or responsibilities that is inconsistent with Executive’s position, provided that a mere change of title alone shall not constitute such a material reduction;</w:t>
      </w:r>
    </w:p>
    <w:p>
      <w:pPr>
        <w:spacing w:after="0" w:line="4" w:lineRule="exact"/>
        <w:rPr>
          <w:sz w:val="20"/>
          <w:szCs w:val="20"/>
          <w:color w:val="auto"/>
        </w:rPr>
      </w:pPr>
    </w:p>
    <w:p>
      <w:pPr>
        <w:jc w:val="both"/>
        <w:ind w:firstLine="7"/>
        <w:spacing w:after="0" w:line="254" w:lineRule="auto"/>
        <w:tabs>
          <w:tab w:leader="none" w:pos="322"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requirement that Executive change Executive’s principal office to a facility that increases Executive’s commute by more than forty (40) miles from Executive’s commute to the location at which Executive was employed prior to such change; or (c) a material reduction in Executive’s base salary or a material reduction in Executive’s employee benefits (e.g., medical, dental, insurance, short- and long-term disability insurance and 401(k) retirement plan benefits, collectively (the “</w:t>
      </w:r>
      <w:r>
        <w:rPr>
          <w:rFonts w:ascii="Arial" w:cs="Arial" w:eastAsia="Arial" w:hAnsi="Arial"/>
          <w:sz w:val="20"/>
          <w:szCs w:val="20"/>
          <w:u w:val="single" w:color="auto"/>
          <w:color w:val="auto"/>
        </w:rPr>
        <w:t>Employee Benefits</w:t>
      </w:r>
      <w:r>
        <w:rPr>
          <w:rFonts w:ascii="Arial" w:cs="Arial" w:eastAsia="Arial" w:hAnsi="Arial"/>
          <w:sz w:val="20"/>
          <w:szCs w:val="20"/>
          <w:color w:val="auto"/>
        </w:rPr>
        <w:t>”) to which Executive is entitled immediately prior to such reduction (other than (x) in connection with a general decrease in the annual base salary or Employee Benefits of all similarly situated employees, and (y) following the Change in Control, to the extent necessary to make Executive’s annual base salary or Employee Benefits commensurate with those of other employees of the Company or its successor entity or parent entity who are similarly situated with Executive following such Change in Control); provided, however, that Executive must provide written notice to the Board of the condition that could</w:t>
      </w:r>
    </w:p>
    <w:p>
      <w:pPr>
        <w:spacing w:after="0" w:line="385" w:lineRule="exact"/>
        <w:rPr>
          <w:rFonts w:ascii="Arial" w:cs="Arial" w:eastAsia="Arial" w:hAnsi="Arial"/>
          <w:sz w:val="20"/>
          <w:szCs w:val="20"/>
          <w:color w:val="auto"/>
        </w:rPr>
      </w:pPr>
    </w:p>
    <w:p>
      <w:pPr>
        <w:ind w:left="5580" w:hanging="134"/>
        <w:spacing w:after="0"/>
        <w:tabs>
          <w:tab w:leader="none" w:pos="5580" w:val="left"/>
        </w:tabs>
        <w:numPr>
          <w:ilvl w:val="1"/>
          <w:numId w:val="75"/>
        </w:numPr>
        <w:rPr>
          <w:rFonts w:ascii="Arial" w:cs="Arial" w:eastAsia="Arial" w:hAnsi="Arial"/>
          <w:sz w:val="21"/>
          <w:szCs w:val="21"/>
          <w:color w:val="auto"/>
        </w:rPr>
      </w:pPr>
      <w:r>
        <w:rPr>
          <w:rFonts w:ascii="Arial" w:cs="Arial" w:eastAsia="Arial" w:hAnsi="Arial"/>
          <w:sz w:val="21"/>
          <w:szCs w:val="21"/>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06" w:name="page107"/>
    <w:bookmarkEnd w:id="106"/>
    <w:p>
      <w:pPr>
        <w:jc w:val="both"/>
        <w:spacing w:after="0" w:line="245" w:lineRule="exact"/>
        <w:rPr>
          <w:sz w:val="20"/>
          <w:szCs w:val="20"/>
          <w:color w:val="auto"/>
        </w:rPr>
      </w:pPr>
      <w:r>
        <w:rPr>
          <w:rFonts w:ascii="Arial" w:cs="Arial" w:eastAsia="Arial" w:hAnsi="Arial"/>
          <w:sz w:val="21"/>
          <w:szCs w:val="21"/>
          <w:color w:val="auto"/>
        </w:rPr>
        <w:t>constitute a “Good Reason” event within ninety (90) days following the initial existence of such condition and such condition must not have been remedied by the Company within thirty (30) days (the “</w:t>
      </w:r>
      <w:r>
        <w:rPr>
          <w:rFonts w:ascii="Arial" w:cs="Arial" w:eastAsia="Arial" w:hAnsi="Arial"/>
          <w:sz w:val="21"/>
          <w:szCs w:val="21"/>
          <w:u w:val="single" w:color="auto"/>
          <w:color w:val="auto"/>
        </w:rPr>
        <w:t>Cure Period</w:t>
      </w:r>
      <w:r>
        <w:rPr>
          <w:rFonts w:ascii="Arial" w:cs="Arial" w:eastAsia="Arial" w:hAnsi="Arial"/>
          <w:sz w:val="21"/>
          <w:szCs w:val="21"/>
          <w:color w:val="auto"/>
        </w:rPr>
        <w:t>”) of such written notice. To the extent Executive’s primary work location is not the Company’s corporate offices due to a shelter</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place order, quarantine order, or similar work</w:t>
      </w:r>
      <w:r>
        <w:rPr>
          <w:rFonts w:ascii="MS PGothic" w:cs="MS PGothic" w:eastAsia="MS PGothic" w:hAnsi="MS PGothic"/>
          <w:sz w:val="21"/>
          <w:szCs w:val="21"/>
          <w:color w:val="auto"/>
        </w:rPr>
        <w:t>‑</w:t>
      </w:r>
      <w:r>
        <w:rPr>
          <w:rFonts w:ascii="Arial" w:cs="Arial" w:eastAsia="Arial" w:hAnsi="Arial"/>
          <w:sz w:val="21"/>
          <w:szCs w:val="21"/>
          <w:color w:val="auto"/>
        </w:rPr>
        <w:t>from</w:t>
      </w:r>
      <w:r>
        <w:rPr>
          <w:rFonts w:ascii="MS PGothic" w:cs="MS PGothic" w:eastAsia="MS PGothic" w:hAnsi="MS PGothic"/>
          <w:sz w:val="21"/>
          <w:szCs w:val="21"/>
          <w:color w:val="auto"/>
        </w:rPr>
        <w:t>‑</w:t>
      </w:r>
      <w:r>
        <w:rPr>
          <w:rFonts w:ascii="Arial" w:cs="Arial" w:eastAsia="Arial" w:hAnsi="Arial"/>
          <w:sz w:val="21"/>
          <w:szCs w:val="21"/>
          <w:color w:val="auto"/>
        </w:rPr>
        <w:t>home requirement that applies to Executive, Executive’s primary office location, from which a change in location under the foregoing clause (b)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88"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1"/>
          <w:szCs w:val="21"/>
          <w:color w:val="auto"/>
        </w:rPr>
        <w:t>7.11. “</w:t>
      </w:r>
      <w:r>
        <w:rPr>
          <w:rFonts w:ascii="Arial" w:cs="Arial" w:eastAsia="Arial" w:hAnsi="Arial"/>
          <w:sz w:val="21"/>
          <w:szCs w:val="21"/>
          <w:u w:val="single" w:color="auto"/>
          <w:color w:val="auto"/>
        </w:rPr>
        <w:t>Qualifying Termination</w:t>
      </w:r>
      <w:r>
        <w:rPr>
          <w:rFonts w:ascii="Arial" w:cs="Arial" w:eastAsia="Arial" w:hAnsi="Arial"/>
          <w:sz w:val="21"/>
          <w:szCs w:val="21"/>
          <w:color w:val="auto"/>
        </w:rPr>
        <w:t>” means a termination of Executive’s employment with the Company either (a) by the Company without Cause and other than due to Executive’s death or Disability, or (b) by Executive for Good Reason.</w:t>
      </w:r>
    </w:p>
    <w:p>
      <w:pPr>
        <w:spacing w:after="0" w:line="169"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1"/>
          <w:szCs w:val="21"/>
          <w:color w:val="auto"/>
        </w:rPr>
        <w:t>7.12. “</w:t>
      </w:r>
      <w:r>
        <w:rPr>
          <w:rFonts w:ascii="Arial" w:cs="Arial" w:eastAsia="Arial" w:hAnsi="Arial"/>
          <w:sz w:val="21"/>
          <w:szCs w:val="21"/>
          <w:u w:val="single" w:color="auto"/>
          <w:color w:val="auto"/>
        </w:rPr>
        <w:t>Salary</w:t>
      </w:r>
      <w:r>
        <w:rPr>
          <w:rFonts w:ascii="Arial" w:cs="Arial" w:eastAsia="Arial" w:hAnsi="Arial"/>
          <w:sz w:val="21"/>
          <w:szCs w:val="21"/>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80" w:lineRule="exact"/>
        <w:rPr>
          <w:sz w:val="20"/>
          <w:szCs w:val="20"/>
          <w:color w:val="auto"/>
        </w:rPr>
      </w:pPr>
    </w:p>
    <w:p>
      <w:pPr>
        <w:jc w:val="both"/>
        <w:ind w:firstLine="1728"/>
        <w:spacing w:after="0" w:line="295" w:lineRule="auto"/>
        <w:rPr>
          <w:sz w:val="20"/>
          <w:szCs w:val="20"/>
          <w:color w:val="auto"/>
        </w:rPr>
      </w:pPr>
      <w:r>
        <w:rPr>
          <w:rFonts w:ascii="Arial" w:cs="Arial" w:eastAsia="Arial" w:hAnsi="Arial"/>
          <w:sz w:val="20"/>
          <w:szCs w:val="20"/>
          <w:color w:val="auto"/>
        </w:rPr>
        <w:t>7.13. “</w:t>
      </w:r>
      <w:r>
        <w:rPr>
          <w:rFonts w:ascii="Arial" w:cs="Arial" w:eastAsia="Arial" w:hAnsi="Arial"/>
          <w:sz w:val="20"/>
          <w:szCs w:val="20"/>
          <w:u w:val="single" w:color="auto"/>
          <w:color w:val="auto"/>
        </w:rPr>
        <w:t>Section 409A</w:t>
      </w:r>
      <w:r>
        <w:rPr>
          <w:rFonts w:ascii="Arial" w:cs="Arial" w:eastAsia="Arial" w:hAnsi="Arial"/>
          <w:sz w:val="20"/>
          <w:szCs w:val="20"/>
          <w:color w:val="auto"/>
        </w:rPr>
        <w:t>” means Code Section 409A and the Treasury Regulations and guidance thereunder, and any applicable state law equivalent, as each may be promulgated, amended or modified from time to time.</w:t>
      </w:r>
    </w:p>
    <w:p>
      <w:pPr>
        <w:spacing w:after="0" w:line="130"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7.14. “</w:t>
      </w:r>
      <w:r>
        <w:rPr>
          <w:rFonts w:ascii="Arial" w:cs="Arial" w:eastAsia="Arial" w:hAnsi="Arial"/>
          <w:sz w:val="21"/>
          <w:szCs w:val="21"/>
          <w:u w:val="single" w:color="auto"/>
          <w:color w:val="auto"/>
        </w:rPr>
        <w:t>Service-based Awards</w:t>
      </w:r>
      <w:r>
        <w:rPr>
          <w:rFonts w:ascii="Arial" w:cs="Arial" w:eastAsia="Arial" w:hAnsi="Arial"/>
          <w:sz w:val="21"/>
          <w:szCs w:val="21"/>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75"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7.15. “</w:t>
      </w:r>
      <w:r>
        <w:rPr>
          <w:rFonts w:ascii="Arial" w:cs="Arial" w:eastAsia="Arial" w:hAnsi="Arial"/>
          <w:sz w:val="21"/>
          <w:szCs w:val="21"/>
          <w:u w:val="single" w:color="auto"/>
          <w:color w:val="auto"/>
        </w:rPr>
        <w:t>Target Bonus</w:t>
      </w:r>
      <w:r>
        <w:rPr>
          <w:rFonts w:ascii="Arial" w:cs="Arial" w:eastAsia="Arial" w:hAnsi="Arial"/>
          <w:sz w:val="21"/>
          <w:szCs w:val="21"/>
          <w:color w:val="auto"/>
        </w:rPr>
        <w:t>” means Executive’s annual (or annualized, if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75" w:lineRule="exact"/>
        <w:rPr>
          <w:sz w:val="20"/>
          <w:szCs w:val="20"/>
          <w:color w:val="auto"/>
        </w:rPr>
      </w:pPr>
    </w:p>
    <w:p>
      <w:pPr>
        <w:jc w:val="both"/>
        <w:ind w:firstLine="871"/>
        <w:spacing w:after="0" w:line="257" w:lineRule="auto"/>
        <w:tabs>
          <w:tab w:leader="none" w:pos="1666"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383" w:lineRule="exact"/>
        <w:rPr>
          <w:rFonts w:ascii="Arial" w:cs="Arial" w:eastAsia="Arial" w:hAnsi="Arial"/>
          <w:sz w:val="20"/>
          <w:szCs w:val="20"/>
          <w:color w:val="auto"/>
        </w:rPr>
      </w:pPr>
    </w:p>
    <w:p>
      <w:pPr>
        <w:ind w:left="5580" w:hanging="134"/>
        <w:spacing w:after="0"/>
        <w:tabs>
          <w:tab w:leader="none" w:pos="5580" w:val="left"/>
        </w:tabs>
        <w:numPr>
          <w:ilvl w:val="1"/>
          <w:numId w:val="76"/>
        </w:numPr>
        <w:rPr>
          <w:rFonts w:ascii="Arial" w:cs="Arial" w:eastAsia="Arial" w:hAnsi="Arial"/>
          <w:sz w:val="21"/>
          <w:szCs w:val="21"/>
          <w:color w:val="auto"/>
        </w:rPr>
      </w:pPr>
      <w:r>
        <w:rPr>
          <w:rFonts w:ascii="Arial" w:cs="Arial" w:eastAsia="Arial" w:hAnsi="Arial"/>
          <w:sz w:val="21"/>
          <w:szCs w:val="21"/>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07" w:name="page108"/>
    <w:bookmarkEnd w:id="107"/>
    <w:p>
      <w:pPr>
        <w:ind w:left="1680" w:hanging="809"/>
        <w:spacing w:after="0"/>
        <w:tabs>
          <w:tab w:leader="none" w:pos="1680"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w:t>
      </w:r>
    </w:p>
    <w:p>
      <w:pPr>
        <w:spacing w:after="0" w:line="213"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General</w:t>
      </w:r>
      <w:r>
        <w:rPr>
          <w:rFonts w:ascii="Arial" w:cs="Arial" w:eastAsia="Arial" w:hAnsi="Arial"/>
          <w:sz w:val="21"/>
          <w:szCs w:val="21"/>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79"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Athira Pharma, Inc.</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4000 Mason Road, Suite 300</w:t>
      </w:r>
    </w:p>
    <w:p>
      <w:pPr>
        <w:ind w:left="2600"/>
        <w:spacing w:after="0"/>
        <w:rPr>
          <w:sz w:val="20"/>
          <w:szCs w:val="20"/>
          <w:color w:val="auto"/>
        </w:rPr>
      </w:pPr>
      <w:r>
        <w:rPr>
          <w:rFonts w:ascii="Arial" w:cs="Arial" w:eastAsia="Arial" w:hAnsi="Arial"/>
          <w:sz w:val="21"/>
          <w:szCs w:val="21"/>
          <w:color w:val="auto"/>
        </w:rPr>
        <w:t>Seattle, WA 98195</w:t>
      </w:r>
    </w:p>
    <w:p>
      <w:pPr>
        <w:ind w:left="2600"/>
        <w:spacing w:after="0"/>
        <w:rPr>
          <w:sz w:val="20"/>
          <w:szCs w:val="20"/>
          <w:color w:val="auto"/>
        </w:rPr>
      </w:pPr>
      <w:r>
        <w:rPr>
          <w:rFonts w:ascii="Arial" w:cs="Arial" w:eastAsia="Arial" w:hAnsi="Arial"/>
          <w:sz w:val="21"/>
          <w:szCs w:val="21"/>
          <w:color w:val="auto"/>
        </w:rPr>
        <w:t>Attention: Chief Executive Officer</w:t>
      </w:r>
    </w:p>
    <w:p>
      <w:pPr>
        <w:spacing w:after="0" w:line="195"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(a) the giving of the notice or (b) the end of any applicable cure period).</w:t>
      </w:r>
    </w:p>
    <w:p>
      <w:pPr>
        <w:spacing w:after="0" w:line="181" w:lineRule="exact"/>
        <w:rPr>
          <w:sz w:val="20"/>
          <w:szCs w:val="20"/>
          <w:color w:val="auto"/>
        </w:rPr>
      </w:pPr>
    </w:p>
    <w:p>
      <w:pPr>
        <w:jc w:val="both"/>
        <w:ind w:firstLine="871"/>
        <w:spacing w:after="0" w:line="249" w:lineRule="auto"/>
        <w:tabs>
          <w:tab w:leader="none" w:pos="1773"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Resignation</w:t>
      </w:r>
      <w:r>
        <w:rPr>
          <w:rFonts w:ascii="Arial" w:cs="Arial" w:eastAsia="Arial" w:hAnsi="Arial"/>
          <w:sz w:val="21"/>
          <w:szCs w:val="21"/>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74" w:lineRule="exact"/>
        <w:rPr>
          <w:rFonts w:ascii="Arial" w:cs="Arial" w:eastAsia="Arial" w:hAnsi="Arial"/>
          <w:sz w:val="21"/>
          <w:szCs w:val="21"/>
          <w:color w:val="auto"/>
        </w:rPr>
      </w:pPr>
    </w:p>
    <w:p>
      <w:pPr>
        <w:ind w:left="1780" w:hanging="909"/>
        <w:spacing w:after="0"/>
        <w:tabs>
          <w:tab w:leader="none" w:pos="1780"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Miscellaneous Provisions</w:t>
      </w:r>
      <w:r>
        <w:rPr>
          <w:rFonts w:ascii="Arial" w:cs="Arial" w:eastAsia="Arial" w:hAnsi="Arial"/>
          <w:sz w:val="21"/>
          <w:szCs w:val="21"/>
          <w:color w:val="auto"/>
        </w:rPr>
        <w:t>.</w:t>
      </w:r>
    </w:p>
    <w:p>
      <w:pPr>
        <w:spacing w:after="0" w:line="213"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No Duty to Mitigate</w:t>
      </w:r>
      <w:r>
        <w:rPr>
          <w:rFonts w:ascii="Arial" w:cs="Arial" w:eastAsia="Arial" w:hAnsi="Arial"/>
          <w:sz w:val="21"/>
          <w:szCs w:val="21"/>
          <w:color w:val="auto"/>
        </w:rPr>
        <w:t>. Executive will not be required to mitigate the amount of any payment contemplated by this Agreement, nor will any payment be reduced by any earnings that Executive may receive from any other source except as specified in Sections 3.4, 5.4 and 6.</w:t>
      </w:r>
    </w:p>
    <w:p>
      <w:pPr>
        <w:spacing w:after="0" w:line="169"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Waiver; Amendment</w:t>
      </w:r>
      <w:r>
        <w:rPr>
          <w:rFonts w:ascii="Arial" w:cs="Arial" w:eastAsia="Arial" w:hAnsi="Arial"/>
          <w:sz w:val="21"/>
          <w:szCs w:val="21"/>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0" w:lineRule="exact"/>
        <w:rPr>
          <w:sz w:val="20"/>
          <w:szCs w:val="20"/>
          <w:color w:val="auto"/>
        </w:rPr>
      </w:pPr>
    </w:p>
    <w:p>
      <w:pPr>
        <w:jc w:val="both"/>
        <w:ind w:right="20" w:firstLine="1728"/>
        <w:spacing w:after="0" w:line="270"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Headings</w:t>
      </w:r>
      <w:r>
        <w:rPr>
          <w:rFonts w:ascii="Arial" w:cs="Arial" w:eastAsia="Arial" w:hAnsi="Arial"/>
          <w:sz w:val="21"/>
          <w:szCs w:val="21"/>
          <w:color w:val="auto"/>
        </w:rPr>
        <w:t>. Headings are provided herein for convenience only, and will not serve as a basis for interpretation or construction of this Agreement.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08" w:name="page109"/>
    <w:bookmarkEnd w:id="108"/>
    <w:p>
      <w:pPr>
        <w:jc w:val="both"/>
        <w:ind w:firstLine="1728"/>
        <w:spacing w:after="0" w:line="249"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the Confidentiality Agreement and Executive’s employment letter with the Company dated April 27, 2021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75"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75"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 xml:space="preserve">11.6.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75" w:lineRule="exact"/>
        <w:rPr>
          <w:sz w:val="20"/>
          <w:szCs w:val="20"/>
          <w:color w:val="auto"/>
        </w:rPr>
      </w:pPr>
    </w:p>
    <w:p>
      <w:pPr>
        <w:jc w:val="both"/>
        <w:ind w:firstLine="1728"/>
        <w:spacing w:after="0" w:line="245" w:lineRule="exact"/>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u w:val="single" w:color="auto"/>
          <w:color w:val="auto"/>
        </w:rPr>
        <w:t>Withholding</w:t>
      </w:r>
      <w:r>
        <w:rPr>
          <w:rFonts w:ascii="Arial" w:cs="Arial" w:eastAsia="Arial" w:hAnsi="Arial"/>
          <w:sz w:val="21"/>
          <w:szCs w:val="21"/>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21"/>
          <w:szCs w:val="21"/>
          <w:color w:val="auto"/>
        </w:rPr>
        <w:t>‑</w:t>
      </w:r>
      <w:r>
        <w:rPr>
          <w:rFonts w:ascii="Arial" w:cs="Arial" w:eastAsia="Arial" w:hAnsi="Arial"/>
          <w:sz w:val="21"/>
          <w:szCs w:val="21"/>
          <w:color w:val="auto"/>
        </w:rPr>
        <w:t>U.S. taxes or other required withholdings and payroll deductions (“</w:t>
      </w:r>
      <w:r>
        <w:rPr>
          <w:rFonts w:ascii="Arial" w:cs="Arial" w:eastAsia="Arial" w:hAnsi="Arial"/>
          <w:sz w:val="21"/>
          <w:szCs w:val="21"/>
          <w:u w:val="single" w:color="auto"/>
          <w:color w:val="auto"/>
        </w:rPr>
        <w:t>Withholdings</w:t>
      </w:r>
      <w:r>
        <w:rPr>
          <w:rFonts w:ascii="Arial" w:cs="Arial" w:eastAsia="Arial" w:hAnsi="Arial"/>
          <w:sz w:val="21"/>
          <w:szCs w:val="21"/>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84" w:lineRule="exact"/>
        <w:rPr>
          <w:sz w:val="20"/>
          <w:szCs w:val="20"/>
          <w:color w:val="auto"/>
        </w:rPr>
      </w:pPr>
    </w:p>
    <w:p>
      <w:pPr>
        <w:jc w:val="both"/>
        <w:ind w:right="20" w:firstLine="1728"/>
        <w:spacing w:after="0" w:line="270"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will be deemed an original, but all of which together will constitute one and the same instrument.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09" w:name="page110"/>
    <w:bookmarkEnd w:id="109"/>
    <w:p>
      <w:pPr>
        <w:ind w:firstLine="864"/>
        <w:spacing w:after="0" w:line="270" w:lineRule="auto"/>
        <w:rPr>
          <w:sz w:val="20"/>
          <w:szCs w:val="20"/>
          <w:color w:val="auto"/>
        </w:rPr>
      </w:pPr>
      <w:r>
        <w:rPr>
          <w:rFonts w:ascii="Arial" w:cs="Arial" w:eastAsia="Arial" w:hAnsi="Arial"/>
          <w:sz w:val="21"/>
          <w:szCs w:val="21"/>
          <w:color w:val="auto"/>
        </w:rPr>
        <w:t>By her, his, or its signature below, each of the parties signifies its acceptance of the terms of this Agreement, in the case of the Company by its duly authorized officer.</w:t>
      </w:r>
    </w:p>
    <w:p>
      <w:pPr>
        <w:spacing w:after="0" w:line="173" w:lineRule="exact"/>
        <w:rPr>
          <w:sz w:val="20"/>
          <w:szCs w:val="20"/>
          <w:color w:val="auto"/>
        </w:rPr>
      </w:pPr>
    </w:p>
    <w:p>
      <w:pPr>
        <w:spacing w:after="0"/>
        <w:tabs>
          <w:tab w:leader="none" w:pos="5540" w:val="left"/>
        </w:tabs>
        <w:rPr>
          <w:sz w:val="20"/>
          <w:szCs w:val="20"/>
          <w:color w:val="auto"/>
        </w:rPr>
      </w:pPr>
      <w:r>
        <w:rPr>
          <w:rFonts w:ascii="Arial" w:cs="Arial" w:eastAsia="Arial" w:hAnsi="Arial"/>
          <w:sz w:val="21"/>
          <w:szCs w:val="21"/>
          <w:b w:val="1"/>
          <w:bCs w:val="1"/>
          <w:color w:val="auto"/>
        </w:rPr>
        <w:t>COMPANY</w:t>
      </w:r>
      <w:r>
        <w:rPr>
          <w:sz w:val="20"/>
          <w:szCs w:val="20"/>
          <w:color w:val="auto"/>
        </w:rPr>
        <w:tab/>
      </w:r>
      <w:r>
        <w:rPr>
          <w:rFonts w:ascii="Arial" w:cs="Arial" w:eastAsia="Arial" w:hAnsi="Arial"/>
          <w:sz w:val="21"/>
          <w:szCs w:val="21"/>
          <w:b w:val="1"/>
          <w:bCs w:val="1"/>
          <w:color w:val="auto"/>
        </w:rPr>
        <w:t>ATHIRA PHARMA, INC.</w:t>
      </w:r>
    </w:p>
    <w:p>
      <w:pPr>
        <w:spacing w:after="0" w:line="246" w:lineRule="exact"/>
        <w:rPr>
          <w:sz w:val="20"/>
          <w:szCs w:val="20"/>
          <w:color w:val="auto"/>
        </w:rPr>
      </w:pPr>
    </w:p>
    <w:p>
      <w:pPr>
        <w:ind w:left="5560"/>
        <w:spacing w:after="0"/>
        <w:tabs>
          <w:tab w:leader="none" w:pos="6120" w:val="left"/>
        </w:tabs>
        <w:rPr>
          <w:sz w:val="20"/>
          <w:szCs w:val="20"/>
          <w:color w:val="auto"/>
        </w:rPr>
      </w:pPr>
      <w:r>
        <w:rPr>
          <w:rFonts w:ascii="Arial" w:cs="Arial" w:eastAsia="Arial" w:hAnsi="Arial"/>
          <w:sz w:val="21"/>
          <w:szCs w:val="21"/>
          <w:color w:val="auto"/>
        </w:rPr>
        <w:t>By:</w:t>
        <w:tab/>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3893820</wp:posOffset>
            </wp:positionH>
            <wp:positionV relativeFrom="paragraph">
              <wp:posOffset>13335</wp:posOffset>
            </wp:positionV>
            <wp:extent cx="32442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24421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3893820</wp:posOffset>
            </wp:positionH>
            <wp:positionV relativeFrom="paragraph">
              <wp:posOffset>13335</wp:posOffset>
            </wp:positionV>
            <wp:extent cx="32442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244215" cy="8255"/>
                    </a:xfrm>
                    <a:prstGeom prst="rect">
                      <a:avLst/>
                    </a:prstGeom>
                    <a:noFill/>
                  </pic:spPr>
                </pic:pic>
              </a:graphicData>
            </a:graphic>
          </wp:anchor>
        </w:drawing>
      </w:r>
    </w:p>
    <w:p>
      <w:pPr>
        <w:spacing w:after="0" w:line="233"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Date: July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3893820</wp:posOffset>
            </wp:positionH>
            <wp:positionV relativeFrom="paragraph">
              <wp:posOffset>13335</wp:posOffset>
            </wp:positionV>
            <wp:extent cx="32442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324421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tabs>
          <w:tab w:leader="none" w:pos="5540" w:val="left"/>
        </w:tabs>
        <w:rPr>
          <w:sz w:val="20"/>
          <w:szCs w:val="20"/>
          <w:color w:val="auto"/>
        </w:rPr>
      </w:pPr>
      <w:r>
        <w:rPr>
          <w:rFonts w:ascii="Arial" w:cs="Arial" w:eastAsia="Arial" w:hAnsi="Arial"/>
          <w:sz w:val="21"/>
          <w:szCs w:val="21"/>
          <w:b w:val="1"/>
          <w:bCs w:val="1"/>
          <w:color w:val="auto"/>
        </w:rPr>
        <w:t>EXECUTIVE</w:t>
      </w:r>
      <w:r>
        <w:rPr>
          <w:sz w:val="20"/>
          <w:szCs w:val="20"/>
          <w:color w:val="auto"/>
        </w:rPr>
        <w:tab/>
      </w:r>
      <w:r>
        <w:rPr>
          <w:rFonts w:ascii="Arial" w:cs="Arial" w:eastAsia="Arial" w:hAnsi="Arial"/>
          <w:sz w:val="21"/>
          <w:szCs w:val="21"/>
          <w:color w:val="auto"/>
        </w:rPr>
        <w:t>/s/ Rachel Lenington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17145</wp:posOffset>
            </wp:positionV>
            <wp:extent cx="36093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609340" cy="8255"/>
                    </a:xfrm>
                    <a:prstGeom prst="rect">
                      <a:avLst/>
                    </a:prstGeom>
                    <a:noFill/>
                  </pic:spPr>
                </pic:pic>
              </a:graphicData>
            </a:graphic>
          </wp:anchor>
        </w:drawing>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Date: July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3893820</wp:posOffset>
            </wp:positionH>
            <wp:positionV relativeFrom="paragraph">
              <wp:posOffset>13335</wp:posOffset>
            </wp:positionV>
            <wp:extent cx="32442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3244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- 12 -</w:t>
      </w:r>
    </w:p>
    <w:p>
      <w:pPr>
        <w:sectPr>
          <w:pgSz w:w="11900" w:h="16838" w:orient="portrait"/>
          <w:cols w:equalWidth="0" w:num="1">
            <w:col w:w="11240"/>
          </w:cols>
          <w:pgMar w:left="320" w:top="332" w:right="339" w:bottom="1440" w:gutter="0" w:footer="0" w:header="0"/>
        </w:sectPr>
      </w:pPr>
    </w:p>
    <w:bookmarkStart w:id="110" w:name="page111"/>
    <w:bookmarkEnd w:id="110"/>
    <w:p>
      <w:pPr>
        <w:ind w:left="10320"/>
        <w:spacing w:after="0"/>
        <w:rPr>
          <w:sz w:val="20"/>
          <w:szCs w:val="20"/>
          <w:color w:val="auto"/>
        </w:rPr>
      </w:pPr>
      <w:r>
        <w:rPr>
          <w:rFonts w:ascii="Arial" w:cs="Arial" w:eastAsia="Arial" w:hAnsi="Arial"/>
          <w:sz w:val="16"/>
          <w:szCs w:val="16"/>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133590" cy="6197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3590" cy="619760"/>
                    </a:xfrm>
                    <a:prstGeom prst="rect">
                      <a:avLst/>
                    </a:prstGeom>
                    <a:noFill/>
                  </pic:spPr>
                </pic:pic>
              </a:graphicData>
            </a:graphic>
          </wp:anchor>
        </w:drawing>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18706 NORTH CREEK PARKWAY</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color w:val="auto"/>
        </w:rPr>
        <w:t>May 10,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Mark Worthington</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Via Email</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 Offer Letter</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Dear Mark:</w:t>
      </w:r>
    </w:p>
    <w:p>
      <w:pPr>
        <w:spacing w:after="0" w:line="213"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color w:val="auto"/>
        </w:rPr>
        <w:t>I am pleased to offer you a position with Athira Pharma, Inc. (the “Company”) in accordance with the terms of this offer letter (the “Agreement”).</w:t>
      </w:r>
    </w:p>
    <w:p>
      <w:pPr>
        <w:spacing w:after="0" w:line="152" w:lineRule="exact"/>
        <w:rPr>
          <w:sz w:val="20"/>
          <w:szCs w:val="20"/>
          <w:color w:val="auto"/>
        </w:rPr>
      </w:pPr>
    </w:p>
    <w:p>
      <w:pPr>
        <w:jc w:val="both"/>
        <w:ind w:firstLine="871"/>
        <w:spacing w:after="0" w:line="256" w:lineRule="auto"/>
        <w:tabs>
          <w:tab w:leader="none" w:pos="1666"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Title; Position</w:t>
      </w:r>
      <w:r>
        <w:rPr>
          <w:rFonts w:ascii="Arial" w:cs="Arial" w:eastAsia="Arial" w:hAnsi="Arial"/>
          <w:sz w:val="20"/>
          <w:szCs w:val="20"/>
          <w:color w:val="auto"/>
        </w:rPr>
        <w:t>. You will serve as the Company’s General Counsel. You will report to the Company’s Chief Executive Officer and will perform the duties and responsibilities customary for such position and such other related duties as are reasonably assigned by the Company’s Chief Executive Officer. While you render services to the Company, you will not engage in any other employment, occupation, or consulting activity for any direct or indirect remuneration or otherwise without the prior written approval of the Company Board of Directors (the “Board”). You may engage in charitable and community activities as well as own, as a passive investment, less than two percent (2%) of the capital stock of any corporation listed on the national securities exchange or publicly traded in the over-the-counter market, as long as such activities do not interfere with the performance of your duties under this Agreement. By signing this Agreement, you confirm that you have no contractual commitments or other legal obligations that would prohibit you from performing your duties for the Company.</w:t>
      </w:r>
    </w:p>
    <w:p>
      <w:pPr>
        <w:spacing w:after="0" w:line="172" w:lineRule="exact"/>
        <w:rPr>
          <w:rFonts w:ascii="Arial" w:cs="Arial" w:eastAsia="Arial" w:hAnsi="Arial"/>
          <w:sz w:val="20"/>
          <w:szCs w:val="20"/>
          <w:color w:val="auto"/>
        </w:rPr>
      </w:pPr>
    </w:p>
    <w:p>
      <w:pPr>
        <w:jc w:val="both"/>
        <w:ind w:firstLine="871"/>
        <w:spacing w:after="0" w:line="249" w:lineRule="auto"/>
        <w:tabs>
          <w:tab w:leader="none" w:pos="1666"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Location</w:t>
      </w:r>
      <w:r>
        <w:rPr>
          <w:rFonts w:ascii="Arial" w:cs="Arial" w:eastAsia="Arial" w:hAnsi="Arial"/>
          <w:sz w:val="21"/>
          <w:szCs w:val="21"/>
          <w:color w:val="auto"/>
        </w:rPr>
        <w:t>. You will perform your duties from the Company’s corporate offices located in Seattle, Washington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74" w:lineRule="exact"/>
        <w:rPr>
          <w:rFonts w:ascii="Arial" w:cs="Arial" w:eastAsia="Arial" w:hAnsi="Arial"/>
          <w:sz w:val="21"/>
          <w:szCs w:val="21"/>
          <w:color w:val="auto"/>
        </w:rPr>
      </w:pPr>
    </w:p>
    <w:p>
      <w:pPr>
        <w:jc w:val="both"/>
        <w:ind w:firstLine="871"/>
        <w:spacing w:after="0" w:line="294" w:lineRule="auto"/>
        <w:tabs>
          <w:tab w:leader="none" w:pos="166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Your annual base salary will be $385,000, which will be payable, less any applicable withholdings, in accordance with the Company’s normal payroll practices. Your annual base salary will be subject to review and adjustment from time to time by our Board or its Compensation Committee (the “Committee”), as applicable, in its sole discretion.</w:t>
      </w:r>
    </w:p>
    <w:p>
      <w:pPr>
        <w:spacing w:after="0" w:line="133" w:lineRule="exact"/>
        <w:rPr>
          <w:rFonts w:ascii="Arial" w:cs="Arial" w:eastAsia="Arial" w:hAnsi="Arial"/>
          <w:sz w:val="19"/>
          <w:szCs w:val="19"/>
          <w:color w:val="auto"/>
        </w:rPr>
      </w:pPr>
    </w:p>
    <w:p>
      <w:pPr>
        <w:ind w:firstLine="871"/>
        <w:spacing w:after="0" w:line="270" w:lineRule="auto"/>
        <w:tabs>
          <w:tab w:leader="none" w:pos="1666"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Annual Bonus</w:t>
      </w:r>
      <w:r>
        <w:rPr>
          <w:rFonts w:ascii="Arial" w:cs="Arial" w:eastAsia="Arial" w:hAnsi="Arial"/>
          <w:sz w:val="21"/>
          <w:szCs w:val="21"/>
          <w:color w:val="auto"/>
        </w:rPr>
        <w:t>. For the Company’s 2021 fiscal year, you will have the opportunity to earn a target annual cash bonus equal to forty percent (40%) of your annual base salary,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259080</wp:posOffset>
            </wp:positionV>
            <wp:extent cx="717613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207645</wp:posOffset>
            </wp:positionH>
            <wp:positionV relativeFrom="page">
              <wp:posOffset>224790</wp:posOffset>
            </wp:positionV>
            <wp:extent cx="1223010" cy="6115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223010" cy="611505"/>
                    </a:xfrm>
                    <a:prstGeom prst="rect">
                      <a:avLst/>
                    </a:prstGeom>
                    <a:noFill/>
                  </pic:spPr>
                </pic:pic>
              </a:graphicData>
            </a:graphic>
          </wp:anchor>
        </w:drawing>
        <w:t>18706 NORTH CREEK PARKWAY</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200" w:lineRule="exact"/>
        <w:rPr>
          <w:sz w:val="20"/>
          <w:szCs w:val="20"/>
          <w:color w:val="auto"/>
        </w:rPr>
      </w:pP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on achieving performance objectives established by the Board or the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 Your 2021 fiscal year annual bonus will be prorated for the portion of the fiscal year you were employed by the Company (beginning with your employment start date).</w:t>
      </w:r>
    </w:p>
    <w:p>
      <w:pPr>
        <w:spacing w:after="0" w:line="181" w:lineRule="exact"/>
        <w:rPr>
          <w:sz w:val="20"/>
          <w:szCs w:val="20"/>
          <w:color w:val="auto"/>
        </w:rPr>
      </w:pPr>
    </w:p>
    <w:p>
      <w:pPr>
        <w:jc w:val="both"/>
        <w:ind w:firstLine="871"/>
        <w:spacing w:after="0" w:line="255" w:lineRule="auto"/>
        <w:tabs>
          <w:tab w:leader="none" w:pos="1666"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Equity Awards</w:t>
      </w:r>
      <w:r>
        <w:rPr>
          <w:rFonts w:ascii="Arial" w:cs="Arial" w:eastAsia="Arial" w:hAnsi="Arial"/>
          <w:sz w:val="20"/>
          <w:szCs w:val="20"/>
          <w:color w:val="auto"/>
        </w:rPr>
        <w:t>. In addition, if you decide to join us it will be recommended that the Committee approve the grant to you of an option to purchase 150,000 shares of the Company’s Common Stock (the “Option”). The Option shall have an exercise price per share equal to the fair market value per share on the date of grant as determined by the Committee. The shares subject to the Option will be scheduled to vest as to one fourth (1/4th) of the shares of the Company’s common stock subject at grant to the Option on each of the one (1), two (2), three (3), and four (4) year anniversaries of the Option’s grant date, subject to your continued status as a service provider through the applicable vesting date. The Option will be subject to the terms and conditions of the Company’s 2020 Equity Incentive Plan and a stock option agreement provided to you by the Company. You will be eligible to receive additional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74" w:lineRule="exact"/>
        <w:rPr>
          <w:rFonts w:ascii="Arial" w:cs="Arial" w:eastAsia="Arial" w:hAnsi="Arial"/>
          <w:sz w:val="20"/>
          <w:szCs w:val="20"/>
          <w:color w:val="auto"/>
        </w:rPr>
      </w:pPr>
    </w:p>
    <w:p>
      <w:pPr>
        <w:jc w:val="both"/>
        <w:ind w:firstLine="871"/>
        <w:spacing w:after="0" w:line="260" w:lineRule="auto"/>
        <w:tabs>
          <w:tab w:leader="none" w:pos="1666"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Employee Benefits</w:t>
      </w:r>
      <w:r>
        <w:rPr>
          <w:rFonts w:ascii="Arial" w:cs="Arial" w:eastAsia="Arial" w:hAnsi="Arial"/>
          <w:sz w:val="20"/>
          <w:szCs w:val="20"/>
          <w:color w:val="auto"/>
        </w:rPr>
        <w:t>. You will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63" w:lineRule="exact"/>
        <w:rPr>
          <w:rFonts w:ascii="Arial" w:cs="Arial" w:eastAsia="Arial" w:hAnsi="Arial"/>
          <w:sz w:val="20"/>
          <w:szCs w:val="20"/>
          <w:color w:val="auto"/>
        </w:rPr>
      </w:pPr>
    </w:p>
    <w:p>
      <w:pPr>
        <w:jc w:val="both"/>
        <w:ind w:firstLine="871"/>
        <w:spacing w:after="0" w:line="249" w:lineRule="auto"/>
        <w:tabs>
          <w:tab w:leader="none" w:pos="1666"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Severance</w:t>
      </w:r>
      <w:r>
        <w:rPr>
          <w:rFonts w:ascii="Arial" w:cs="Arial" w:eastAsia="Arial" w:hAnsi="Arial"/>
          <w:sz w:val="21"/>
          <w:szCs w:val="21"/>
          <w:color w:val="auto"/>
        </w:rPr>
        <w:t>. You will be eligible to enter into a Change in Control and Severance Agreement (the “Severance Agreement”) applicable to you based on your position within the Company. The Severance Agreement will specify the severance payments and benefits you may become entitled to receive in connection with a change in control of the Company as well as certain qualifying terminations of your employment with the Company.</w:t>
      </w:r>
    </w:p>
    <w:p>
      <w:pPr>
        <w:spacing w:after="0" w:line="174" w:lineRule="exact"/>
        <w:rPr>
          <w:rFonts w:ascii="Arial" w:cs="Arial" w:eastAsia="Arial" w:hAnsi="Arial"/>
          <w:sz w:val="21"/>
          <w:szCs w:val="21"/>
          <w:color w:val="auto"/>
        </w:rPr>
      </w:pPr>
    </w:p>
    <w:p>
      <w:pPr>
        <w:ind w:right="20" w:firstLine="871"/>
        <w:spacing w:after="0" w:line="270" w:lineRule="auto"/>
        <w:tabs>
          <w:tab w:leader="none" w:pos="1666"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 As an employee of the Company, you will have access to certain confidential information of the Company and you may, during the course of your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195580</wp:posOffset>
            </wp:positionV>
            <wp:extent cx="717613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207645</wp:posOffset>
            </wp:positionH>
            <wp:positionV relativeFrom="page">
              <wp:posOffset>224790</wp:posOffset>
            </wp:positionV>
            <wp:extent cx="1223010" cy="6115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223010" cy="611505"/>
                    </a:xfrm>
                    <a:prstGeom prst="rect">
                      <a:avLst/>
                    </a:prstGeom>
                    <a:noFill/>
                  </pic:spPr>
                </pic:pic>
              </a:graphicData>
            </a:graphic>
          </wp:anchor>
        </w:drawing>
        <w:t>18706 NORTH CREEK PARKWAY</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200" w:lineRule="exact"/>
        <w:rPr>
          <w:sz w:val="20"/>
          <w:szCs w:val="20"/>
          <w:color w:val="auto"/>
        </w:rPr>
      </w:pP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employment, develop certain information or inventions that will be the property of the Company. To protect the interests of the Company, you will be required as a condition of your employment with the Company to enter into a Proprietary Information and Inventions Assignment Agreement with the Company in substantially the form attached hereto as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xml:space="preserve"> (the “Confidentiality Agreement”).</w:t>
      </w:r>
    </w:p>
    <w:p>
      <w:pPr>
        <w:spacing w:after="0" w:line="175" w:lineRule="exact"/>
        <w:rPr>
          <w:sz w:val="20"/>
          <w:szCs w:val="20"/>
          <w:color w:val="auto"/>
        </w:rPr>
      </w:pPr>
    </w:p>
    <w:p>
      <w:pPr>
        <w:jc w:val="both"/>
        <w:ind w:firstLine="871"/>
        <w:spacing w:after="0" w:line="247" w:lineRule="exact"/>
        <w:tabs>
          <w:tab w:leader="none" w:pos="1666"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This Agreement does not imply any right to your continued employment for any period with the Company or any parent, subsidiary, or affiliate of the Company. Your employment with the Company is and will continue to be at</w:t>
      </w:r>
      <w:r>
        <w:rPr>
          <w:rFonts w:ascii="MS PGothic" w:cs="MS PGothic" w:eastAsia="MS PGothic" w:hAnsi="MS PGothic"/>
          <w:sz w:val="21"/>
          <w:szCs w:val="21"/>
          <w:color w:val="auto"/>
        </w:rPr>
        <w:t>‑</w:t>
      </w:r>
      <w:r>
        <w:rPr>
          <w:rFonts w:ascii="Arial" w:cs="Arial" w:eastAsia="Arial" w:hAnsi="Arial"/>
          <w:sz w:val="21"/>
          <w:szCs w:val="21"/>
          <w:color w:val="auto"/>
        </w:rPr>
        <w: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85" w:lineRule="exact"/>
        <w:rPr>
          <w:rFonts w:ascii="Arial" w:cs="Arial" w:eastAsia="Arial" w:hAnsi="Arial"/>
          <w:sz w:val="21"/>
          <w:szCs w:val="21"/>
          <w:color w:val="auto"/>
        </w:rPr>
      </w:pPr>
    </w:p>
    <w:p>
      <w:pPr>
        <w:jc w:val="both"/>
        <w:ind w:firstLine="871"/>
        <w:spacing w:after="0" w:line="254" w:lineRule="auto"/>
        <w:tabs>
          <w:tab w:leader="none" w:pos="1773"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Additional Employment Provisions</w:t>
      </w:r>
      <w:r>
        <w:rPr>
          <w:rFonts w:ascii="Arial" w:cs="Arial" w:eastAsia="Arial" w:hAnsi="Arial"/>
          <w:sz w:val="20"/>
          <w:szCs w:val="20"/>
          <w:color w:val="auto"/>
        </w:rPr>
        <w:t>.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 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 You will be required to sign an acknowledgment that you have read and that you understand the Company’s rules of conduct which are included in the Company Handbook.</w:t>
      </w:r>
    </w:p>
    <w:p>
      <w:pPr>
        <w:spacing w:after="0" w:line="179" w:lineRule="exact"/>
        <w:rPr>
          <w:rFonts w:ascii="Arial" w:cs="Arial" w:eastAsia="Arial" w:hAnsi="Arial"/>
          <w:sz w:val="20"/>
          <w:szCs w:val="20"/>
          <w:color w:val="auto"/>
        </w:rPr>
      </w:pPr>
    </w:p>
    <w:p>
      <w:pPr>
        <w:jc w:val="both"/>
        <w:ind w:firstLine="871"/>
        <w:spacing w:after="0" w:line="243" w:lineRule="auto"/>
        <w:tabs>
          <w:tab w:leader="none" w:pos="1765"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Protected Activity Not Prohibited</w:t>
      </w:r>
      <w:r>
        <w:rPr>
          <w:rFonts w:ascii="Arial" w:cs="Arial" w:eastAsia="Arial" w:hAnsi="Arial"/>
          <w:sz w:val="21"/>
          <w:szCs w:val="21"/>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195580</wp:posOffset>
            </wp:positionV>
            <wp:extent cx="717613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207645</wp:posOffset>
            </wp:positionH>
            <wp:positionV relativeFrom="page">
              <wp:posOffset>224790</wp:posOffset>
            </wp:positionV>
            <wp:extent cx="1223010" cy="6115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223010" cy="611505"/>
                    </a:xfrm>
                    <a:prstGeom prst="rect">
                      <a:avLst/>
                    </a:prstGeom>
                    <a:noFill/>
                  </pic:spPr>
                </pic:pic>
              </a:graphicData>
            </a:graphic>
          </wp:anchor>
        </w:drawing>
        <w:t>18706 NORTH CREEK PARKWAY</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200" w:lineRule="exact"/>
        <w:rPr>
          <w:sz w:val="20"/>
          <w:szCs w:val="20"/>
          <w:color w:val="auto"/>
        </w:rPr>
      </w:pP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w:t>
      </w:r>
    </w:p>
    <w:p>
      <w:pPr>
        <w:spacing w:after="0" w:line="175" w:lineRule="exact"/>
        <w:rPr>
          <w:sz w:val="20"/>
          <w:szCs w:val="20"/>
          <w:color w:val="auto"/>
        </w:rPr>
      </w:pPr>
    </w:p>
    <w:p>
      <w:pPr>
        <w:jc w:val="both"/>
        <w:ind w:firstLine="871"/>
        <w:spacing w:after="0" w:line="269" w:lineRule="auto"/>
        <w:tabs>
          <w:tab w:leader="none" w:pos="1773"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Company (or its affiliate, as applicable) will have the right and authority to deduct from any payments or benefits under this Agreement all applicable federal, state, and local taxes or other required withholdings and payroll deductions (“Withholdings”).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Neither the Company nor any of its affiliates will have any responsibility, liability or obligation to pay your taxes arising from or relating to any payments or benefits under this Agreement. This Agreement and the terms herein are intended to comply with or be exempt from the requirements of Section 409A of the Internal Revenue Code of 1986, as amended, and the Treasury Regulations and any formal guidance promulgated thereunder (“Section 409A”), so that none of the payments and benefits to be provided hereunder will be subject to the additional tax imposed by Section 409A, and any ambiguities or ambiguous terms herein will be interpreted to so comply or be so exempt. In no event will the Company or any of its affiliates have any responsibility, liability or obligation to reimburse or indemnify you, or hold you harmless, for any tax imposed, or other costs incurred, as a result of Section 409A.</w:t>
      </w:r>
    </w:p>
    <w:p>
      <w:pPr>
        <w:spacing w:after="0" w:line="164" w:lineRule="exact"/>
        <w:rPr>
          <w:rFonts w:ascii="Arial" w:cs="Arial" w:eastAsia="Arial" w:hAnsi="Arial"/>
          <w:sz w:val="19"/>
          <w:szCs w:val="19"/>
          <w:color w:val="auto"/>
        </w:rPr>
      </w:pPr>
    </w:p>
    <w:p>
      <w:pPr>
        <w:jc w:val="both"/>
        <w:ind w:firstLine="871"/>
        <w:spacing w:after="0" w:line="262" w:lineRule="auto"/>
        <w:tabs>
          <w:tab w:leader="none" w:pos="1773"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together with the Confidentiality Agreement,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Washington but without regard to the conflicts of law provision. This Agreement may be modified only by a written agreement signed by a duly authorized officer of the Company (other than yourself) and you.</w:t>
      </w:r>
    </w:p>
    <w:p>
      <w:pPr>
        <w:spacing w:after="0" w:line="162" w:lineRule="exact"/>
        <w:rPr>
          <w:sz w:val="20"/>
          <w:szCs w:val="20"/>
          <w:color w:val="auto"/>
        </w:rPr>
      </w:pPr>
    </w:p>
    <w:p>
      <w:pPr>
        <w:ind w:firstLine="864"/>
        <w:spacing w:after="0" w:line="270" w:lineRule="auto"/>
        <w:rPr>
          <w:sz w:val="20"/>
          <w:szCs w:val="20"/>
          <w:color w:val="auto"/>
        </w:rPr>
      </w:pPr>
      <w:r>
        <w:rPr>
          <w:rFonts w:ascii="Arial" w:cs="Arial" w:eastAsia="Arial" w:hAnsi="Arial"/>
          <w:sz w:val="21"/>
          <w:szCs w:val="21"/>
          <w:color w:val="auto"/>
        </w:rPr>
        <w:t>To accept the Company’s offer, please sign and date in the spaces indicated below and return this Agreement to me. If you accept our offer, your first day of employment with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195580</wp:posOffset>
            </wp:positionV>
            <wp:extent cx="717613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207645</wp:posOffset>
            </wp:positionH>
            <wp:positionV relativeFrom="page">
              <wp:posOffset>224790</wp:posOffset>
            </wp:positionV>
            <wp:extent cx="1223010" cy="6115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1223010" cy="611505"/>
                    </a:xfrm>
                    <a:prstGeom prst="rect">
                      <a:avLst/>
                    </a:prstGeom>
                    <a:noFill/>
                  </pic:spPr>
                </pic:pic>
              </a:graphicData>
            </a:graphic>
          </wp:anchor>
        </w:drawing>
        <w:t>18706 NORTH CREEK PARKWAY</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 xml:space="preserve">Company pursuant to the terms of this Agreement will be </w:t>
      </w:r>
      <w:r>
        <w:rPr>
          <w:rFonts w:ascii="Arial" w:cs="Arial" w:eastAsia="Arial" w:hAnsi="Arial"/>
          <w:sz w:val="21"/>
          <w:szCs w:val="21"/>
          <w:b w:val="1"/>
          <w:bCs w:val="1"/>
          <w:color w:val="auto"/>
        </w:rPr>
        <w:t>June 1, 2021</w:t>
      </w:r>
      <w:r>
        <w:rPr>
          <w:rFonts w:ascii="Arial" w:cs="Arial" w:eastAsia="Arial" w:hAnsi="Arial"/>
          <w:sz w:val="21"/>
          <w:szCs w:val="21"/>
          <w:color w:val="auto"/>
        </w:rPr>
        <w:t>. This offer of employment will terminate if it is not accepted, signed and returned by May 15, 2021.</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We look forward to your favorable reply and to working with you at Athira Pharma, Inc.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Sincerely,</w:t>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Athira Pharma, Inc.</w:t>
      </w:r>
    </w:p>
    <w:p>
      <w:pPr>
        <w:spacing w:after="0" w:line="195"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By:  /s/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3868420</wp:posOffset>
            </wp:positionH>
            <wp:positionV relativeFrom="paragraph">
              <wp:posOffset>13335</wp:posOffset>
            </wp:positionV>
            <wp:extent cx="32696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269615" cy="8255"/>
                    </a:xfrm>
                    <a:prstGeom prst="rect">
                      <a:avLst/>
                    </a:prstGeom>
                    <a:noFill/>
                  </pic:spPr>
                </pic:pic>
              </a:graphicData>
            </a:graphic>
          </wp:anchor>
        </w:drawing>
      </w:r>
    </w:p>
    <w:p>
      <w:pPr>
        <w:spacing w:after="0" w:line="1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Leen Kawas, Ph.D.</w:t>
      </w:r>
    </w:p>
    <w:p>
      <w:pPr>
        <w:ind w:left="6100"/>
        <w:spacing w:after="0"/>
        <w:rPr>
          <w:sz w:val="20"/>
          <w:szCs w:val="20"/>
          <w:color w:val="auto"/>
        </w:rPr>
      </w:pPr>
      <w:r>
        <w:rPr>
          <w:rFonts w:ascii="Arial" w:cs="Arial" w:eastAsia="Arial" w:hAnsi="Arial"/>
          <w:sz w:val="21"/>
          <w:szCs w:val="21"/>
          <w:color w:val="auto"/>
        </w:rPr>
        <w:t>Chief Executive Officer</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Agreed to and accepted:</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667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21"/>
          <w:szCs w:val="21"/>
          <w:color w:val="auto"/>
        </w:rPr>
        <w:t>Dated:</w:t>
      </w:r>
      <w:r>
        <w:rPr>
          <w:sz w:val="20"/>
          <w:szCs w:val="20"/>
          <w:color w:val="auto"/>
        </w:rPr>
        <w:tab/>
      </w:r>
      <w:r>
        <w:rPr>
          <w:rFonts w:ascii="Arial" w:cs="Arial" w:eastAsia="Arial" w:hAnsi="Arial"/>
          <w:sz w:val="19"/>
          <w:szCs w:val="19"/>
          <w:u w:val="single" w:color="auto"/>
          <w:color w:val="auto"/>
        </w:rPr>
        <w:t>May 11,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195580</wp:posOffset>
            </wp:positionV>
            <wp:extent cx="717613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207645</wp:posOffset>
            </wp:positionH>
            <wp:positionV relativeFrom="page">
              <wp:posOffset>224790</wp:posOffset>
            </wp:positionV>
            <wp:extent cx="1223010" cy="6115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223010" cy="611505"/>
                    </a:xfrm>
                    <a:prstGeom prst="rect">
                      <a:avLst/>
                    </a:prstGeom>
                    <a:noFill/>
                  </pic:spPr>
                </pic:pic>
              </a:graphicData>
            </a:graphic>
          </wp:anchor>
        </w:drawing>
        <w:t>18706 NORTH CREEK PARKWAY</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u w:val="single" w:color="auto"/>
          <w:color w:val="auto"/>
        </w:rPr>
        <w:t>EXHIBIT A</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Proprietary Information and Inventions Assignment Agreement</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195580</wp:posOffset>
            </wp:positionV>
            <wp:extent cx="717613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20"/>
          </w:cols>
          <w:pgMar w:left="1440" w:top="799"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207645</wp:posOffset>
            </wp:positionH>
            <wp:positionV relativeFrom="page">
              <wp:posOffset>224790</wp:posOffset>
            </wp:positionV>
            <wp:extent cx="1223010" cy="6115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223010" cy="611505"/>
                    </a:xfrm>
                    <a:prstGeom prst="rect">
                      <a:avLst/>
                    </a:prstGeom>
                    <a:noFill/>
                  </pic:spPr>
                </pic:pic>
              </a:graphicData>
            </a:graphic>
          </wp:anchor>
        </w:drawing>
        <w:t>18706 NORTH CREEK PARKWAY</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WASHINGTON 98011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B</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7 of the Defend Trade Secrets Act of 2016</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799"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1"/>
          <w:szCs w:val="21"/>
          <w:b w:val="1"/>
          <w:bCs w:val="1"/>
          <w:color w:val="auto"/>
        </w:rPr>
        <w:t>Exhibit 10.4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ATHIRA PHARMA,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CHANGE IN CONTROL AND SEVERANCE AGREEMENT</w:t>
      </w:r>
    </w:p>
    <w:p>
      <w:pPr>
        <w:spacing w:after="0" w:line="219" w:lineRule="exact"/>
        <w:rPr>
          <w:sz w:val="20"/>
          <w:szCs w:val="20"/>
          <w:color w:val="auto"/>
        </w:rPr>
      </w:pPr>
    </w:p>
    <w:p>
      <w:pPr>
        <w:jc w:val="both"/>
        <w:ind w:firstLine="864"/>
        <w:spacing w:after="0" w:line="295" w:lineRule="auto"/>
        <w:rPr>
          <w:sz w:val="20"/>
          <w:szCs w:val="20"/>
          <w:color w:val="auto"/>
        </w:rPr>
      </w:pPr>
      <w:r>
        <w:rPr>
          <w:rFonts w:ascii="Arial" w:cs="Arial" w:eastAsia="Arial" w:hAnsi="Arial"/>
          <w:sz w:val="20"/>
          <w:szCs w:val="20"/>
          <w:color w:val="auto"/>
        </w:rPr>
        <w:t>This Change in Control and Severance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is made by and between Athira Pharma,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Mark Worthington (“</w:t>
      </w:r>
      <w:r>
        <w:rPr>
          <w:rFonts w:ascii="Arial" w:cs="Arial" w:eastAsia="Arial" w:hAnsi="Arial"/>
          <w:sz w:val="20"/>
          <w:szCs w:val="20"/>
          <w:u w:val="single" w:color="auto"/>
          <w:color w:val="auto"/>
        </w:rPr>
        <w:t>Executive</w:t>
      </w:r>
      <w:r>
        <w:rPr>
          <w:rFonts w:ascii="Arial" w:cs="Arial" w:eastAsia="Arial" w:hAnsi="Arial"/>
          <w:sz w:val="20"/>
          <w:szCs w:val="20"/>
          <w:color w:val="auto"/>
        </w:rPr>
        <w:t>”), effective as of June 1, 2021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90"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20"/>
          <w:szCs w:val="20"/>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Company and Executive agree as follows:</w:t>
      </w:r>
    </w:p>
    <w:p>
      <w:pPr>
        <w:spacing w:after="0" w:line="213" w:lineRule="exact"/>
        <w:rPr>
          <w:sz w:val="20"/>
          <w:szCs w:val="20"/>
          <w:color w:val="auto"/>
        </w:rPr>
      </w:pPr>
    </w:p>
    <w:p>
      <w:pPr>
        <w:jc w:val="both"/>
        <w:ind w:firstLine="871"/>
        <w:spacing w:after="0" w:line="254" w:lineRule="auto"/>
        <w:tabs>
          <w:tab w:leader="none" w:pos="1666"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Term of Agreement</w:t>
      </w:r>
      <w:r>
        <w:rPr>
          <w:rFonts w:ascii="Arial" w:cs="Arial" w:eastAsia="Arial" w:hAnsi="Arial"/>
          <w:sz w:val="21"/>
          <w:szCs w:val="21"/>
          <w:color w:val="auto"/>
        </w:rPr>
        <w:t>. This Agreement will continue indefinitely until terminated by written consent of the parties hereto, or if earlier, upon the date that all of the obligations of the parties hereto with respect to this Agreement have been satisfied.</w:t>
      </w:r>
    </w:p>
    <w:p>
      <w:pPr>
        <w:spacing w:after="0" w:line="169" w:lineRule="exact"/>
        <w:rPr>
          <w:rFonts w:ascii="Arial" w:cs="Arial" w:eastAsia="Arial" w:hAnsi="Arial"/>
          <w:sz w:val="21"/>
          <w:szCs w:val="21"/>
          <w:color w:val="auto"/>
        </w:rPr>
      </w:pPr>
    </w:p>
    <w:p>
      <w:pPr>
        <w:jc w:val="both"/>
        <w:ind w:firstLine="871"/>
        <w:spacing w:after="0" w:line="246" w:lineRule="auto"/>
        <w:tabs>
          <w:tab w:leader="none" w:pos="1666"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80" w:lineRule="exact"/>
        <w:rPr>
          <w:rFonts w:ascii="Arial" w:cs="Arial" w:eastAsia="Arial" w:hAnsi="Arial"/>
          <w:sz w:val="21"/>
          <w:szCs w:val="21"/>
          <w:color w:val="auto"/>
        </w:rPr>
      </w:pPr>
    </w:p>
    <w:p>
      <w:pPr>
        <w:ind w:left="1680" w:hanging="809"/>
        <w:spacing w:after="0"/>
        <w:tabs>
          <w:tab w:leader="none" w:pos="1680"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Severance Benefits</w:t>
      </w:r>
      <w:r>
        <w:rPr>
          <w:rFonts w:ascii="Arial" w:cs="Arial" w:eastAsia="Arial" w:hAnsi="Arial"/>
          <w:sz w:val="21"/>
          <w:szCs w:val="21"/>
          <w:color w:val="auto"/>
        </w:rPr>
        <w:t>.</w:t>
      </w:r>
    </w:p>
    <w:p>
      <w:pPr>
        <w:spacing w:after="0" w:line="213"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Qualifying Termination Outside of the Change in Control Period</w:t>
      </w:r>
      <w:r>
        <w:rPr>
          <w:rFonts w:ascii="Arial" w:cs="Arial" w:eastAsia="Arial" w:hAnsi="Arial"/>
          <w:sz w:val="21"/>
          <w:szCs w:val="21"/>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69" w:lineRule="exact"/>
        <w:rPr>
          <w:sz w:val="20"/>
          <w:szCs w:val="20"/>
          <w:color w:val="auto"/>
        </w:rPr>
      </w:pPr>
    </w:p>
    <w:p>
      <w:pPr>
        <w:ind w:left="3480" w:hanging="880"/>
        <w:spacing w:after="0" w:line="219" w:lineRule="exact"/>
        <w:tabs>
          <w:tab w:leader="none" w:pos="348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Salary Severance</w:t>
      </w:r>
      <w:r>
        <w:rPr>
          <w:rFonts w:ascii="Arial" w:cs="Arial" w:eastAsia="Arial" w:hAnsi="Arial"/>
          <w:sz w:val="19"/>
          <w:szCs w:val="19"/>
          <w:color w:val="auto"/>
        </w:rPr>
        <w:t>. A single, lump sum, cash payment equal to seventy</w:t>
      </w:r>
      <w:r>
        <w:rPr>
          <w:rFonts w:ascii="MS PGothic" w:cs="MS PGothic" w:eastAsia="MS PGothic" w:hAnsi="MS PGothic"/>
          <w:sz w:val="19"/>
          <w:szCs w:val="19"/>
          <w:color w:val="auto"/>
        </w:rPr>
        <w:t>‑</w:t>
      </w:r>
      <w:r>
        <w:rPr>
          <w:rFonts w:ascii="Arial" w:cs="Arial" w:eastAsia="Arial" w:hAnsi="Arial"/>
          <w:sz w:val="19"/>
          <w:szCs w:val="19"/>
          <w:color w:val="auto"/>
        </w:rPr>
        <w:t>five percent (75%)</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of Executive’s Salary.</w:t>
      </w:r>
    </w:p>
    <w:p>
      <w:pPr>
        <w:spacing w:after="0" w:line="195" w:lineRule="exact"/>
        <w:rPr>
          <w:sz w:val="20"/>
          <w:szCs w:val="20"/>
          <w:color w:val="auto"/>
        </w:rPr>
      </w:pPr>
    </w:p>
    <w:p>
      <w:pPr>
        <w:jc w:val="both"/>
        <w:ind w:firstLine="2600"/>
        <w:spacing w:after="0" w:line="244" w:lineRule="auto"/>
        <w:tabs>
          <w:tab w:leader="none" w:pos="3484"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COBRA Severance</w:t>
      </w:r>
      <w:r>
        <w:rPr>
          <w:rFonts w:ascii="Arial" w:cs="Arial" w:eastAsia="Arial" w:hAnsi="Arial"/>
          <w:sz w:val="21"/>
          <w:szCs w:val="21"/>
          <w:color w:val="auto"/>
        </w:rPr>
        <w:t>. Subject to Executive timely electing continuation coverage under the Consolidated Omnibus Budget Reconciliation Act of 1985, as amended (“</w:t>
      </w:r>
      <w:r>
        <w:rPr>
          <w:rFonts w:ascii="Arial" w:cs="Arial" w:eastAsia="Arial" w:hAnsi="Arial"/>
          <w:sz w:val="21"/>
          <w:szCs w:val="21"/>
          <w:u w:val="single" w:color="auto"/>
          <w:color w:val="auto"/>
        </w:rPr>
        <w:t>COBRA</w:t>
      </w:r>
      <w:r>
        <w:rPr>
          <w:rFonts w:ascii="Arial" w:cs="Arial" w:eastAsia="Arial" w:hAnsi="Arial"/>
          <w:sz w:val="21"/>
          <w:szCs w:val="21"/>
          <w:color w:val="auto"/>
        </w:rPr>
        <w:t>”) and further subject to Section 5.3, Executive will receive Company-paid group health, dental and vision coverage for Executive and any of Executive’s eligible dependents, as applicable (the “</w:t>
      </w:r>
      <w:r>
        <w:rPr>
          <w:rFonts w:ascii="Arial" w:cs="Arial" w:eastAsia="Arial" w:hAnsi="Arial"/>
          <w:sz w:val="21"/>
          <w:szCs w:val="21"/>
          <w:u w:val="single" w:color="auto"/>
          <w:color w:val="auto"/>
        </w:rPr>
        <w:t>COBRA Severance</w:t>
      </w:r>
      <w:r>
        <w:rPr>
          <w:rFonts w:ascii="Arial" w:cs="Arial" w:eastAsia="Arial" w:hAnsi="Arial"/>
          <w:sz w:val="21"/>
          <w:szCs w:val="21"/>
          <w:color w:val="auto"/>
        </w:rPr>
        <w:t>”), following the Qualifying Termination until the earliest of: (i) nine (9)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183515</wp:posOffset>
            </wp:positionV>
            <wp:extent cx="717613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8" w:name="page119"/>
    <w:bookmarkEnd w:id="118"/>
    <w:p>
      <w:pPr>
        <w:jc w:val="both"/>
        <w:ind w:firstLine="1728"/>
        <w:spacing w:after="0" w:line="254"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Qualifying Termination During the Change in Control Period</w:t>
      </w:r>
      <w:r>
        <w:rPr>
          <w:rFonts w:ascii="Arial" w:cs="Arial" w:eastAsia="Arial" w:hAnsi="Arial"/>
          <w:sz w:val="21"/>
          <w:szCs w:val="21"/>
          <w:color w:val="auto"/>
        </w:rPr>
        <w:t>. In the event of a Qualifying Termination that occurs during the Change in Control Period, Executive will receive the following payments and benefits from the Company, subject to the requirements of this Agreement:</w:t>
      </w:r>
    </w:p>
    <w:p>
      <w:pPr>
        <w:spacing w:after="0" w:line="169" w:lineRule="exact"/>
        <w:rPr>
          <w:sz w:val="20"/>
          <w:szCs w:val="20"/>
          <w:color w:val="auto"/>
        </w:rPr>
      </w:pPr>
    </w:p>
    <w:p>
      <w:pPr>
        <w:ind w:left="3480" w:hanging="880"/>
        <w:spacing w:after="0"/>
        <w:tabs>
          <w:tab w:leader="none" w:pos="3480"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Salary  Severance</w:t>
      </w:r>
      <w:r>
        <w:rPr>
          <w:rFonts w:ascii="Arial" w:cs="Arial" w:eastAsia="Arial" w:hAnsi="Arial"/>
          <w:sz w:val="21"/>
          <w:szCs w:val="21"/>
          <w:color w:val="auto"/>
        </w:rPr>
        <w:t>.   A  single,  lump  sum,  cash  payment  equal  to  one  hundred</w:t>
      </w:r>
    </w:p>
    <w:p>
      <w:pPr>
        <w:spacing w:after="0" w:line="17"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percent (100%) of Executive’s Salary.</w:t>
      </w:r>
    </w:p>
    <w:p>
      <w:pPr>
        <w:spacing w:after="0" w:line="195" w:lineRule="exact"/>
        <w:rPr>
          <w:rFonts w:ascii="Arial" w:cs="Arial" w:eastAsia="Arial" w:hAnsi="Arial"/>
          <w:sz w:val="21"/>
          <w:szCs w:val="21"/>
          <w:color w:val="auto"/>
        </w:rPr>
      </w:pPr>
    </w:p>
    <w:p>
      <w:pPr>
        <w:ind w:firstLine="2600"/>
        <w:spacing w:after="0" w:line="270" w:lineRule="auto"/>
        <w:tabs>
          <w:tab w:leader="none" w:pos="3484"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Bonus Severance</w:t>
      </w:r>
      <w:r>
        <w:rPr>
          <w:rFonts w:ascii="Arial" w:cs="Arial" w:eastAsia="Arial" w:hAnsi="Arial"/>
          <w:sz w:val="21"/>
          <w:szCs w:val="21"/>
          <w:color w:val="auto"/>
        </w:rPr>
        <w:t>. A single, lump sum, cash payment equal to one hundred percent (100%) of Executive’s Target Bonus.</w:t>
      </w:r>
    </w:p>
    <w:p>
      <w:pPr>
        <w:spacing w:after="0" w:line="152" w:lineRule="exact"/>
        <w:rPr>
          <w:rFonts w:ascii="Arial" w:cs="Arial" w:eastAsia="Arial" w:hAnsi="Arial"/>
          <w:sz w:val="21"/>
          <w:szCs w:val="21"/>
          <w:color w:val="auto"/>
        </w:rPr>
      </w:pPr>
    </w:p>
    <w:p>
      <w:pPr>
        <w:jc w:val="both"/>
        <w:ind w:firstLine="2600"/>
        <w:spacing w:after="0" w:line="246" w:lineRule="auto"/>
        <w:tabs>
          <w:tab w:leader="none" w:pos="3472"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COBRA Severance</w:t>
      </w:r>
      <w:r>
        <w:rPr>
          <w:rFonts w:ascii="Arial" w:cs="Arial" w:eastAsia="Arial" w:hAnsi="Arial"/>
          <w:sz w:val="21"/>
          <w:szCs w:val="21"/>
          <w:color w:val="auto"/>
        </w:rPr>
        <w:t>. Subject to Executive timely electing continuation coverage under COBRA and further subject to Section 5.3, Executive will receive COBRA Severance until the earliest of: (i) twelve (12)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80" w:lineRule="exact"/>
        <w:rPr>
          <w:rFonts w:ascii="Arial" w:cs="Arial" w:eastAsia="Arial" w:hAnsi="Arial"/>
          <w:sz w:val="21"/>
          <w:szCs w:val="21"/>
          <w:color w:val="auto"/>
        </w:rPr>
      </w:pPr>
    </w:p>
    <w:p>
      <w:pPr>
        <w:ind w:firstLine="2600"/>
        <w:spacing w:after="0" w:line="295" w:lineRule="auto"/>
        <w:tabs>
          <w:tab w:leader="none" w:pos="3484"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Vesting Acceleration of Service-based Awards</w:t>
      </w:r>
      <w:r>
        <w:rPr>
          <w:rFonts w:ascii="Arial" w:cs="Arial" w:eastAsia="Arial" w:hAnsi="Arial"/>
          <w:sz w:val="20"/>
          <w:szCs w:val="20"/>
          <w:color w:val="auto"/>
        </w:rPr>
        <w:t>. Vesting acceleration of one hundred percent (100%) of any Service-based Awards that are outstanding and unvested as of the date of the Qualifying Termination.</w:t>
      </w:r>
    </w:p>
    <w:p>
      <w:pPr>
        <w:spacing w:after="0" w:line="130" w:lineRule="exact"/>
        <w:rPr>
          <w:sz w:val="20"/>
          <w:szCs w:val="20"/>
          <w:color w:val="auto"/>
        </w:rPr>
      </w:pPr>
    </w:p>
    <w:p>
      <w:pPr>
        <w:jc w:val="both"/>
        <w:ind w:firstLine="2593"/>
        <w:spacing w:after="0" w:line="257" w:lineRule="auto"/>
        <w:rPr>
          <w:sz w:val="20"/>
          <w:szCs w:val="20"/>
          <w:color w:val="auto"/>
        </w:rPr>
      </w:pPr>
      <w:r>
        <w:rPr>
          <w:rFonts w:ascii="Arial" w:cs="Arial" w:eastAsia="Arial" w:hAnsi="Arial"/>
          <w:sz w:val="20"/>
          <w:szCs w:val="20"/>
          <w:color w:val="auto"/>
        </w:rPr>
        <w:t>For the avoidance of doubt, in the event of Executive’s Qualifying Termination that occurs prior to a Change in Control, any then outstanding and unvested portion of Executive’s Awards will remain outstanding (and unvested) until the earlier of (x) one (1) month following the Qualifying Termination, or (y) a Change in Control that occurs within one (1) month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one (1) month following a Qualifying Termination, any unvested portion of Executive’s Awards automatically and permanently will be forfeited on the date one (1) month following the date of the Qualifying Termination without having vested.</w:t>
      </w:r>
    </w:p>
    <w:p>
      <w:pPr>
        <w:spacing w:after="0" w:line="170"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Termination Other Than a Qualifying Termination</w:t>
      </w:r>
      <w:r>
        <w:rPr>
          <w:rFonts w:ascii="Arial" w:cs="Arial" w:eastAsia="Arial" w:hAnsi="Arial"/>
          <w:sz w:val="21"/>
          <w:szCs w:val="21"/>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75"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Non-duplication of Payment or Benefits</w:t>
      </w:r>
      <w:r>
        <w:rPr>
          <w:rFonts w:ascii="Arial" w:cs="Arial" w:eastAsia="Arial" w:hAnsi="Arial"/>
          <w:sz w:val="21"/>
          <w:szCs w:val="21"/>
          <w:color w:val="auto"/>
        </w:rPr>
        <w:t>. For purposes of clarity, in the event of a Qualifying Termination that occurs during the period within one (1) month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19" w:name="page120"/>
    <w:bookmarkEnd w:id="119"/>
    <w:p>
      <w:pPr>
        <w:jc w:val="both"/>
        <w:spacing w:after="0" w:line="249" w:lineRule="auto"/>
        <w:rPr>
          <w:sz w:val="20"/>
          <w:szCs w:val="20"/>
          <w:color w:val="auto"/>
        </w:rPr>
      </w:pPr>
      <w:r>
        <w:rPr>
          <w:rFonts w:ascii="Arial" w:cs="Arial" w:eastAsia="Arial" w:hAnsi="Arial"/>
          <w:sz w:val="21"/>
          <w:szCs w:val="21"/>
          <w:color w:val="auto"/>
        </w:rPr>
        <w:t>Awards, or other severance or separation benefits similar to those provided under this Agreement, by operation of applicable law or under a plan, policy, contract, or arrangement sponsored by or to which the Company is a party other than this Agreement (“</w:t>
      </w:r>
      <w:r>
        <w:rPr>
          <w:rFonts w:ascii="Arial" w:cs="Arial" w:eastAsia="Arial" w:hAnsi="Arial"/>
          <w:sz w:val="21"/>
          <w:szCs w:val="21"/>
          <w:u w:val="single" w:color="auto"/>
          <w:color w:val="auto"/>
        </w:rPr>
        <w:t>Other Benefits</w:t>
      </w:r>
      <w:r>
        <w:rPr>
          <w:rFonts w:ascii="Arial" w:cs="Arial" w:eastAsia="Arial" w:hAnsi="Arial"/>
          <w:sz w:val="21"/>
          <w:szCs w:val="21"/>
          <w:color w:val="auto"/>
        </w:rPr>
        <w:t>”), then the corresponding severance payments and benefits under this Agreement will be reduced by the amount of Other Benefits paid or provided to Executive.</w:t>
      </w:r>
    </w:p>
    <w:p>
      <w:pPr>
        <w:spacing w:after="0" w:line="175" w:lineRule="exact"/>
        <w:rPr>
          <w:sz w:val="20"/>
          <w:szCs w:val="20"/>
          <w:color w:val="auto"/>
        </w:rPr>
      </w:pPr>
    </w:p>
    <w:p>
      <w:pPr>
        <w:jc w:val="both"/>
        <w:ind w:firstLine="1728"/>
        <w:spacing w:after="0" w:line="273"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Death of Executive</w:t>
      </w:r>
      <w:r>
        <w:rPr>
          <w:rFonts w:ascii="Arial" w:cs="Arial" w:eastAsia="Arial" w:hAnsi="Arial"/>
          <w:sz w:val="20"/>
          <w:szCs w:val="20"/>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51" w:lineRule="exact"/>
        <w:rPr>
          <w:sz w:val="20"/>
          <w:szCs w:val="20"/>
          <w:color w:val="auto"/>
        </w:rPr>
      </w:pPr>
    </w:p>
    <w:p>
      <w:pPr>
        <w:jc w:val="both"/>
        <w:ind w:firstLine="871"/>
        <w:spacing w:after="0" w:line="254" w:lineRule="auto"/>
        <w:tabs>
          <w:tab w:leader="none" w:pos="1666"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Accrued Compensation</w:t>
      </w:r>
      <w:r>
        <w:rPr>
          <w:rFonts w:ascii="Arial" w:cs="Arial" w:eastAsia="Arial" w:hAnsi="Arial"/>
          <w:sz w:val="21"/>
          <w:szCs w:val="21"/>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69" w:lineRule="exact"/>
        <w:rPr>
          <w:rFonts w:ascii="Arial" w:cs="Arial" w:eastAsia="Arial" w:hAnsi="Arial"/>
          <w:sz w:val="21"/>
          <w:szCs w:val="21"/>
          <w:color w:val="auto"/>
        </w:rPr>
      </w:pPr>
    </w:p>
    <w:p>
      <w:pPr>
        <w:ind w:left="1680" w:hanging="809"/>
        <w:spacing w:after="0"/>
        <w:tabs>
          <w:tab w:leader="none" w:pos="1680"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Conditions to Receipt of Severance</w:t>
      </w:r>
      <w:r>
        <w:rPr>
          <w:rFonts w:ascii="Arial" w:cs="Arial" w:eastAsia="Arial" w:hAnsi="Arial"/>
          <w:sz w:val="21"/>
          <w:szCs w:val="21"/>
          <w:color w:val="auto"/>
        </w:rPr>
        <w:t>.</w:t>
      </w:r>
    </w:p>
    <w:p>
      <w:pPr>
        <w:spacing w:after="0" w:line="213"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Separation Agreement and Release of Claims</w:t>
      </w:r>
      <w:r>
        <w:rPr>
          <w:rFonts w:ascii="Arial" w:cs="Arial" w:eastAsia="Arial" w:hAnsi="Arial"/>
          <w:sz w:val="21"/>
          <w:szCs w:val="21"/>
          <w:color w:val="auto"/>
        </w:rPr>
        <w:t>. Executive’s receipt of any severance payments or benefits upon a Qualifying Termination under Sections 3.1 and 3.2 is subject to Executive signing and not revoking the Company’s then standard separation agreement and release of claims with the Company (the “</w:t>
      </w:r>
      <w:r>
        <w:rPr>
          <w:rFonts w:ascii="Arial" w:cs="Arial" w:eastAsia="Arial" w:hAnsi="Arial"/>
          <w:sz w:val="21"/>
          <w:szCs w:val="21"/>
          <w:u w:val="single" w:color="auto"/>
          <w:color w:val="auto"/>
        </w:rPr>
        <w:t>Release</w:t>
      </w:r>
      <w:r>
        <w:rPr>
          <w:rFonts w:ascii="Arial" w:cs="Arial" w:eastAsia="Arial" w:hAnsi="Arial"/>
          <w:sz w:val="21"/>
          <w:szCs w:val="21"/>
          <w:color w:val="auto"/>
        </w:rPr>
        <w:t>”), which must become effective and irrevocable no later than the sixtieth (60</w:t>
      </w:r>
      <w:r>
        <w:rPr>
          <w:rFonts w:ascii="Arial" w:cs="Arial" w:eastAsia="Arial" w:hAnsi="Arial"/>
          <w:sz w:val="18"/>
          <w:szCs w:val="18"/>
          <w:color w:val="auto"/>
        </w:rPr>
        <w:t>th</w:t>
      </w:r>
      <w:r>
        <w:rPr>
          <w:rFonts w:ascii="Arial" w:cs="Arial" w:eastAsia="Arial" w:hAnsi="Arial"/>
          <w:sz w:val="21"/>
          <w:szCs w:val="21"/>
          <w:color w:val="auto"/>
        </w:rPr>
        <w:t>) day following the date of the Qualifying Termination (the “</w:t>
      </w:r>
      <w:r>
        <w:rPr>
          <w:rFonts w:ascii="Arial" w:cs="Arial" w:eastAsia="Arial" w:hAnsi="Arial"/>
          <w:sz w:val="21"/>
          <w:szCs w:val="21"/>
          <w:u w:val="single" w:color="auto"/>
          <w:color w:val="auto"/>
        </w:rPr>
        <w:t>Release Deadline Date</w:t>
      </w:r>
      <w:r>
        <w:rPr>
          <w:rFonts w:ascii="Arial" w:cs="Arial" w:eastAsia="Arial" w:hAnsi="Arial"/>
          <w:sz w:val="21"/>
          <w:szCs w:val="21"/>
          <w:color w:val="auto"/>
        </w:rPr>
        <w:t>”). If the Release does not become effective and irrevocable by the Release Deadline Date, Executive will forfeit any right to severance payments or benefits under Section 3.</w:t>
      </w:r>
    </w:p>
    <w:p>
      <w:pPr>
        <w:spacing w:after="0" w:line="179"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Payment Timing</w:t>
      </w:r>
      <w:r>
        <w:rPr>
          <w:rFonts w:ascii="Arial" w:cs="Arial" w:eastAsia="Arial" w:hAnsi="Arial"/>
          <w:sz w:val="20"/>
          <w:szCs w:val="20"/>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provided that any additional amounts of such cash severance payments that become payable as a result of a Change in Control occurring within one (1) month after Executive’s Qualifying Termination will be paid on the later of (x) the first regularly scheduled payroll date of the Company following the date the Release becomes effective and irrevocable, or (y) the date of the Change in Control, in each case subject to any delay required by Section 5.4 below. Any Service-based Awards that are restricted stock units, performance shares, performance units, and/or similar full value awards (“</w:t>
      </w:r>
      <w:r>
        <w:rPr>
          <w:rFonts w:ascii="Arial" w:cs="Arial" w:eastAsia="Arial" w:hAnsi="Arial"/>
          <w:sz w:val="20"/>
          <w:szCs w:val="20"/>
          <w:u w:val="single" w:color="auto"/>
          <w:color w:val="auto"/>
        </w:rPr>
        <w:t>Full Value Awards</w:t>
      </w:r>
      <w:r>
        <w:rPr>
          <w:rFonts w:ascii="Arial" w:cs="Arial" w:eastAsia="Arial" w:hAnsi="Arial"/>
          <w:sz w:val="20"/>
          <w:szCs w:val="20"/>
          <w:color w:val="auto"/>
        </w:rPr>
        <w:t>”) that accelerate vesting under Section 3.2(d) 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79"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COBRA Severance Limitations</w:t>
      </w:r>
      <w:r>
        <w:rPr>
          <w:rFonts w:ascii="Arial" w:cs="Arial" w:eastAsia="Arial" w:hAnsi="Arial"/>
          <w:sz w:val="21"/>
          <w:szCs w:val="21"/>
          <w:color w:val="auto"/>
        </w:rPr>
        <w:t>. If the Company determines in its sole discretion that it cannot provide the COBRA Severance without potentially violating, or being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20" w:name="page121"/>
    <w:bookmarkEnd w:id="120"/>
    <w:p>
      <w:pPr>
        <w:jc w:val="both"/>
        <w:spacing w:after="0" w:line="253" w:lineRule="auto"/>
        <w:rPr>
          <w:sz w:val="20"/>
          <w:szCs w:val="20"/>
          <w:color w:val="auto"/>
        </w:rPr>
      </w:pPr>
      <w:r>
        <w:rPr>
          <w:rFonts w:ascii="Arial" w:cs="Arial" w:eastAsia="Arial" w:hAnsi="Arial"/>
          <w:sz w:val="20"/>
          <w:szCs w:val="20"/>
          <w:color w:val="auto"/>
        </w:rPr>
        <w:t>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below in this Section 5.3), in an amount equal to the monthly COBRA premium that Executive would be required to pay to continue Executive’s group health coverage in effect on the date of the Qualifying Termination (which amount will be based on the premium rates applicable for the first month of COBRA Severance for Executive and any eligible dependents of Executive) (each, a “</w:t>
      </w:r>
      <w:r>
        <w:rPr>
          <w:rFonts w:ascii="Arial" w:cs="Arial" w:eastAsia="Arial" w:hAnsi="Arial"/>
          <w:sz w:val="20"/>
          <w:szCs w:val="20"/>
          <w:u w:val="single" w:color="auto"/>
          <w:color w:val="auto"/>
        </w:rPr>
        <w:t>COBRA Replacement Payment</w:t>
      </w:r>
      <w:r>
        <w:rPr>
          <w:rFonts w:ascii="Arial" w:cs="Arial" w:eastAsia="Arial" w:hAnsi="Arial"/>
          <w:sz w:val="20"/>
          <w:szCs w:val="20"/>
          <w:color w:val="auto"/>
        </w:rPr>
        <w:t>”),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(i) of Section (b) or Section (c), as applicable. For the avoidance of doubt, the COBRA Replacement Payments may be used for any purpose, including, but not limited to continuation coverage under COBRA, and will be subject to any applicable withholdings. Notwithstanding the foregoing, any COBRA Replacement Payments that otherwise would be payable prior to the date that the Release becomes effective and irrevocable shall be paid in a single lump sum on the first regularly scheduled payroll date of the Company following the date the Release becomes effective and irrevocable, and any remaining COBRA Replacement Payments will be paid in accordance with the schedule described further above in this Section 5.3, in each case subject to any delay required by Section 5.4 below).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82"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Section 409A</w:t>
      </w:r>
      <w:r>
        <w:rPr>
          <w:rFonts w:ascii="Arial" w:cs="Arial" w:eastAsia="Arial" w:hAnsi="Arial"/>
          <w:sz w:val="20"/>
          <w:szCs w:val="20"/>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Arial" w:cs="Arial" w:eastAsia="Arial" w:hAnsi="Arial"/>
          <w:sz w:val="20"/>
          <w:szCs w:val="20"/>
          <w:u w:val="single" w:color="auto"/>
          <w:color w:val="auto"/>
        </w:rPr>
        <w:t>Deferred Payments</w:t>
      </w:r>
      <w:r>
        <w:rPr>
          <w:rFonts w:ascii="Arial" w:cs="Arial" w:eastAsia="Arial" w:hAnsi="Arial"/>
          <w:sz w:val="20"/>
          <w:szCs w:val="20"/>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73" w:lineRule="exact"/>
        <w:rPr>
          <w:sz w:val="20"/>
          <w:szCs w:val="20"/>
          <w:color w:val="auto"/>
        </w:rPr>
      </w:pPr>
    </w:p>
    <w:p>
      <w:pPr>
        <w:jc w:val="both"/>
        <w:ind w:firstLine="2600"/>
        <w:spacing w:after="0" w:line="266" w:lineRule="auto"/>
        <w:tabs>
          <w:tab w:leader="none" w:pos="3472" w:val="left"/>
        </w:tabs>
        <w:numPr>
          <w:ilvl w:val="0"/>
          <w:numId w:val="89"/>
        </w:numPr>
        <w:rPr>
          <w:rFonts w:ascii="Arial" w:cs="Arial" w:eastAsia="Arial" w:hAnsi="Arial"/>
          <w:sz w:val="20"/>
          <w:szCs w:val="20"/>
          <w:color w:val="auto"/>
        </w:rPr>
      </w:pPr>
      <w:r>
        <w:rPr>
          <w:rFonts w:ascii="Arial" w:cs="Arial" w:eastAsia="Arial" w:hAnsi="Arial"/>
          <w:sz w:val="20"/>
          <w:szCs w:val="20"/>
          <w:color w:val="auto"/>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21" w:name="page122"/>
    <w:bookmarkEnd w:id="121"/>
    <w:p>
      <w:pPr>
        <w:jc w:val="both"/>
        <w:ind w:firstLine="2600"/>
        <w:spacing w:after="0" w:line="260" w:lineRule="auto"/>
        <w:tabs>
          <w:tab w:leader="none" w:pos="3484" w:val="left"/>
        </w:tabs>
        <w:numPr>
          <w:ilvl w:val="0"/>
          <w:numId w:val="90"/>
        </w:numPr>
        <w:rPr>
          <w:rFonts w:ascii="Arial" w:cs="Arial" w:eastAsia="Arial" w:hAnsi="Arial"/>
          <w:sz w:val="20"/>
          <w:szCs w:val="20"/>
          <w:color w:val="auto"/>
        </w:rPr>
      </w:pPr>
      <w:r>
        <w:rPr>
          <w:rFonts w:ascii="Arial" w:cs="Arial" w:eastAsia="Arial" w:hAnsi="Arial"/>
          <w:sz w:val="20"/>
          <w:szCs w:val="20"/>
          <w:color w:val="auto"/>
        </w:rPr>
        <w:t>Notwithstanding any provisions to the contrary in this Agreement, if Executive is a “specified employee” within the meaning of Section 409A at the time of Executive’s separation from service (other than due to</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1"/>
          <w:szCs w:val="21"/>
          <w:color w:val="auto"/>
        </w:rPr>
        <w:t>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subsection (b)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p>
    <w:p>
      <w:pPr>
        <w:spacing w:after="0" w:line="189" w:lineRule="exact"/>
        <w:rPr>
          <w:sz w:val="20"/>
          <w:szCs w:val="20"/>
          <w:color w:val="auto"/>
        </w:rPr>
      </w:pPr>
    </w:p>
    <w:p>
      <w:pPr>
        <w:jc w:val="both"/>
        <w:ind w:firstLine="2600"/>
        <w:spacing w:after="0" w:line="256" w:lineRule="auto"/>
        <w:tabs>
          <w:tab w:leader="none" w:pos="3472"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72" w:lineRule="exact"/>
        <w:rPr>
          <w:rFonts w:ascii="Arial" w:cs="Arial" w:eastAsia="Arial" w:hAnsi="Arial"/>
          <w:sz w:val="20"/>
          <w:szCs w:val="20"/>
          <w:color w:val="auto"/>
        </w:rPr>
      </w:pPr>
    </w:p>
    <w:p>
      <w:pPr>
        <w:ind w:left="1680" w:hanging="809"/>
        <w:spacing w:after="0"/>
        <w:tabs>
          <w:tab w:leader="none" w:pos="1680"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Limitation on Payments</w:t>
      </w:r>
      <w:r>
        <w:rPr>
          <w:rFonts w:ascii="Arial" w:cs="Arial" w:eastAsia="Arial" w:hAnsi="Arial"/>
          <w:sz w:val="21"/>
          <w:szCs w:val="21"/>
          <w:color w:val="auto"/>
        </w:rPr>
        <w:t>.</w:t>
      </w:r>
    </w:p>
    <w:p>
      <w:pPr>
        <w:spacing w:after="0" w:line="213" w:lineRule="exact"/>
        <w:rPr>
          <w:sz w:val="20"/>
          <w:szCs w:val="20"/>
          <w:color w:val="auto"/>
        </w:rPr>
      </w:pPr>
    </w:p>
    <w:p>
      <w:pPr>
        <w:ind w:firstLine="1728"/>
        <w:spacing w:after="0" w:line="260"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Reduction of Severance Benefits</w:t>
      </w:r>
      <w:r>
        <w:rPr>
          <w:rFonts w:ascii="Arial" w:cs="Arial" w:eastAsia="Arial" w:hAnsi="Arial"/>
          <w:sz w:val="20"/>
          <w:szCs w:val="20"/>
          <w:color w:val="auto"/>
        </w:rPr>
        <w:t>. If any payment or benefit that Executive would receive from the Company or any other party whether in connection with the provisions in this Agreement or otherwise (the “</w:t>
      </w:r>
      <w:r>
        <w:rPr>
          <w:rFonts w:ascii="Arial" w:cs="Arial" w:eastAsia="Arial" w:hAnsi="Arial"/>
          <w:sz w:val="20"/>
          <w:szCs w:val="20"/>
          <w:u w:val="single" w:color="auto"/>
          <w:color w:val="auto"/>
        </w:rPr>
        <w:t>Payments</w:t>
      </w:r>
      <w:r>
        <w:rPr>
          <w:rFonts w:ascii="Arial" w:cs="Arial" w:eastAsia="Arial" w:hAnsi="Arial"/>
          <w:sz w:val="20"/>
          <w:szCs w:val="20"/>
          <w:color w:val="auto"/>
        </w:rPr>
        <w:t>”) would</w:t>
      </w:r>
    </w:p>
    <w:p>
      <w:pPr>
        <w:spacing w:after="0" w:line="1" w:lineRule="exact"/>
        <w:rPr>
          <w:sz w:val="20"/>
          <w:szCs w:val="20"/>
          <w:color w:val="auto"/>
        </w:rPr>
      </w:pPr>
    </w:p>
    <w:p>
      <w:pPr>
        <w:jc w:val="both"/>
        <w:ind w:firstLine="7"/>
        <w:spacing w:after="0"/>
        <w:tabs>
          <w:tab w:leader="none" w:pos="302" w:val="left"/>
        </w:tabs>
        <w:numPr>
          <w:ilvl w:val="0"/>
          <w:numId w:val="93"/>
        </w:numPr>
        <w:rPr>
          <w:rFonts w:ascii="Arial" w:cs="Arial" w:eastAsia="Arial" w:hAnsi="Arial"/>
          <w:sz w:val="21"/>
          <w:szCs w:val="21"/>
          <w:color w:val="auto"/>
        </w:rPr>
      </w:pPr>
      <w:r>
        <w:rPr>
          <w:rFonts w:ascii="Arial" w:cs="Arial" w:eastAsia="Arial" w:hAnsi="Arial"/>
          <w:sz w:val="21"/>
          <w:szCs w:val="21"/>
          <w:color w:val="auto"/>
        </w:rPr>
        <w:t>constitute a “parachute payment” within the meaning of Section 280G of the Code and (b) but for this sentence, be subject to the excise tax imposed by Section 4999 of the Code (the “</w:t>
      </w:r>
      <w:r>
        <w:rPr>
          <w:rFonts w:ascii="Arial" w:cs="Arial" w:eastAsia="Arial" w:hAnsi="Arial"/>
          <w:sz w:val="21"/>
          <w:szCs w:val="21"/>
          <w:u w:val="single" w:color="auto"/>
          <w:color w:val="auto"/>
        </w:rPr>
        <w:t>Excise Tax</w:t>
      </w:r>
      <w:r>
        <w:rPr>
          <w:rFonts w:ascii="Arial" w:cs="Arial" w:eastAsia="Arial" w:hAnsi="Arial"/>
          <w:sz w:val="21"/>
          <w:szCs w:val="21"/>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in the reverse order of date of grant of the equity awards (that is, the most recently granted equity awards will be cancelled first);</w:t>
      </w:r>
    </w:p>
    <w:p>
      <w:pPr>
        <w:spacing w:after="0" w:line="40" w:lineRule="exact"/>
        <w:rPr>
          <w:sz w:val="20"/>
          <w:szCs w:val="20"/>
          <w:color w:val="auto"/>
        </w:rPr>
      </w:pPr>
    </w:p>
    <w:p>
      <w:pPr>
        <w:jc w:val="both"/>
        <w:ind w:firstLine="7"/>
        <w:spacing w:after="0" w:line="241" w:lineRule="auto"/>
        <w:tabs>
          <w:tab w:leader="none" w:pos="394" w:val="left"/>
        </w:tabs>
        <w:numPr>
          <w:ilvl w:val="0"/>
          <w:numId w:val="94"/>
        </w:numPr>
        <w:rPr>
          <w:rFonts w:ascii="Arial" w:cs="Arial" w:eastAsia="Arial" w:hAnsi="Arial"/>
          <w:sz w:val="21"/>
          <w:szCs w:val="21"/>
          <w:color w:val="auto"/>
        </w:rPr>
      </w:pPr>
      <w:r>
        <w:rPr>
          <w:rFonts w:ascii="Arial" w:cs="Arial" w:eastAsia="Arial" w:hAnsi="Arial"/>
          <w:sz w:val="21"/>
          <w:szCs w:val="21"/>
          <w:color w:val="auto"/>
        </w:rPr>
        <w:t>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82" w:lineRule="exact"/>
        <w:rPr>
          <w:sz w:val="20"/>
          <w:szCs w:val="20"/>
          <w:color w:val="auto"/>
        </w:rPr>
      </w:pPr>
    </w:p>
    <w:p>
      <w:pPr>
        <w:jc w:val="both"/>
        <w:ind w:firstLine="1728"/>
        <w:spacing w:after="0" w:line="271"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Determination of Excise Tax Liability</w:t>
      </w:r>
      <w:r>
        <w:rPr>
          <w:rFonts w:ascii="Arial" w:cs="Arial" w:eastAsia="Arial" w:hAnsi="Arial"/>
          <w:sz w:val="19"/>
          <w:szCs w:val="19"/>
          <w:color w:val="auto"/>
        </w:rPr>
        <w:t>. Unless the Company and Executive otherwise agree in writing, any determinations required under this Section 6 will be made in writing by a nationally recognized accounting or valuation firm (the “</w:t>
      </w:r>
      <w:r>
        <w:rPr>
          <w:rFonts w:ascii="Arial" w:cs="Arial" w:eastAsia="Arial" w:hAnsi="Arial"/>
          <w:sz w:val="19"/>
          <w:szCs w:val="19"/>
          <w:u w:val="single" w:color="auto"/>
          <w:color w:val="auto"/>
        </w:rPr>
        <w:t>Firm</w:t>
      </w:r>
      <w:r>
        <w:rPr>
          <w:rFonts w:ascii="Arial" w:cs="Arial" w:eastAsia="Arial" w:hAnsi="Arial"/>
          <w:sz w:val="19"/>
          <w:szCs w:val="19"/>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60" w:lineRule="exact"/>
        <w:rPr>
          <w:sz w:val="20"/>
          <w:szCs w:val="20"/>
          <w:color w:val="auto"/>
        </w:rPr>
      </w:pPr>
    </w:p>
    <w:p>
      <w:pPr>
        <w:ind w:left="1680" w:hanging="809"/>
        <w:spacing w:after="0"/>
        <w:tabs>
          <w:tab w:leader="none" w:pos="168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The following terms referred to in this Agreement will have the following meanings:</w:t>
      </w:r>
    </w:p>
    <w:p>
      <w:pPr>
        <w:spacing w:after="0" w:line="213"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21"/>
          <w:szCs w:val="21"/>
          <w:color w:val="auto"/>
        </w:rPr>
        <w:t>7.1. “</w:t>
      </w:r>
      <w:r>
        <w:rPr>
          <w:rFonts w:ascii="Arial" w:cs="Arial" w:eastAsia="Arial" w:hAnsi="Arial"/>
          <w:sz w:val="21"/>
          <w:szCs w:val="21"/>
          <w:u w:val="single" w:color="auto"/>
          <w:color w:val="auto"/>
        </w:rPr>
        <w:t>Award</w:t>
      </w:r>
      <w:r>
        <w:rPr>
          <w:rFonts w:ascii="Arial" w:cs="Arial" w:eastAsia="Arial" w:hAnsi="Arial"/>
          <w:sz w:val="21"/>
          <w:szCs w:val="21"/>
          <w:color w:val="auto"/>
        </w:rPr>
        <w:t>” means stock options and other equity awards covering shares of Company common stock granted to Executive.</w:t>
      </w:r>
    </w:p>
    <w:p>
      <w:pPr>
        <w:spacing w:after="0" w:line="152" w:lineRule="exact"/>
        <w:rPr>
          <w:sz w:val="20"/>
          <w:szCs w:val="20"/>
          <w:color w:val="auto"/>
        </w:rPr>
      </w:pPr>
    </w:p>
    <w:p>
      <w:pPr>
        <w:ind w:left="1740"/>
        <w:spacing w:after="0"/>
        <w:tabs>
          <w:tab w:leader="none" w:pos="268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Company’s Board of Directors.</w:t>
      </w:r>
    </w:p>
    <w:p>
      <w:pPr>
        <w:spacing w:after="0" w:line="213"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19"/>
          <w:szCs w:val="19"/>
          <w:color w:val="auto"/>
        </w:rPr>
        <w:t>7.3. “</w:t>
      </w:r>
      <w:r>
        <w:rPr>
          <w:rFonts w:ascii="Arial" w:cs="Arial" w:eastAsia="Arial" w:hAnsi="Arial"/>
          <w:sz w:val="19"/>
          <w:szCs w:val="19"/>
          <w:u w:val="single" w:color="auto"/>
          <w:color w:val="auto"/>
        </w:rPr>
        <w:t>Cause</w:t>
      </w:r>
      <w:r>
        <w:rPr>
          <w:rFonts w:ascii="Arial" w:cs="Arial" w:eastAsia="Arial" w:hAnsi="Arial"/>
          <w:sz w:val="19"/>
          <w:szCs w:val="19"/>
          <w:color w:val="auto"/>
        </w:rPr>
        <w:t>” means Executive’s: (a) indictment or conviction of any felony or any crime involving dishonesty or moral turpitude; (b) participation in any fraud against the Company or other dishonesty which is not the result of an innocent or inadvertent mistake by Executive with respect to the Company; (c) willful violation of Executive’s obligations to the Company after there has been delivered to Executive a written demand for performance from the Board which describes the basis for the Board’s belief that Executive has not substantially satisfied Executive’s obligations to the Company; (d) continued violation or breach of any material written Company policy, agreement with the Company, or any statutory or fiduciary duty to the Company after there has been delivered to you a written notification of such violation or breach; or (e) damaging or misappropriating or attempting to damage or misappropriate any property, including intellectual property, of the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23" w:name="page124"/>
    <w:bookmarkEnd w:id="123"/>
    <w:p>
      <w:pPr>
        <w:ind w:left="1740"/>
        <w:spacing w:after="0"/>
        <w:tabs>
          <w:tab w:leader="none" w:pos="2680" w:val="left"/>
        </w:tabs>
        <w:rPr>
          <w:sz w:val="20"/>
          <w:szCs w:val="20"/>
          <w:color w:val="auto"/>
        </w:rPr>
      </w:pPr>
      <w:r>
        <w:rPr>
          <w:rFonts w:ascii="Arial" w:cs="Arial" w:eastAsia="Arial" w:hAnsi="Arial"/>
          <w:sz w:val="21"/>
          <w:szCs w:val="21"/>
          <w:color w:val="auto"/>
        </w:rPr>
        <w:t>7.4.</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the first occurrence of any of the following events on or after the</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Effective Date:</w:t>
      </w:r>
    </w:p>
    <w:p>
      <w:pPr>
        <w:spacing w:after="0" w:line="195" w:lineRule="exact"/>
        <w:rPr>
          <w:sz w:val="20"/>
          <w:szCs w:val="20"/>
          <w:color w:val="auto"/>
        </w:rPr>
      </w:pPr>
    </w:p>
    <w:p>
      <w:pPr>
        <w:jc w:val="both"/>
        <w:ind w:firstLine="2600"/>
        <w:spacing w:after="0" w:line="269" w:lineRule="auto"/>
        <w:tabs>
          <w:tab w:leader="none" w:pos="3472"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Change in Ownership of the Company</w:t>
      </w:r>
      <w:r>
        <w:rPr>
          <w:rFonts w:ascii="Arial" w:cs="Arial" w:eastAsia="Arial" w:hAnsi="Arial"/>
          <w:sz w:val="19"/>
          <w:szCs w:val="19"/>
          <w:color w:val="auto"/>
        </w:rPr>
        <w:t>. A change in the ownership of the Company which occurs on the date that any one person, or more than one person acting as a group (“</w:t>
      </w:r>
      <w:r>
        <w:rPr>
          <w:rFonts w:ascii="Arial" w:cs="Arial" w:eastAsia="Arial" w:hAnsi="Arial"/>
          <w:sz w:val="19"/>
          <w:szCs w:val="19"/>
          <w:u w:val="single" w:color="auto"/>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(a).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55" w:lineRule="exact"/>
        <w:rPr>
          <w:rFonts w:ascii="Arial" w:cs="Arial" w:eastAsia="Arial" w:hAnsi="Arial"/>
          <w:sz w:val="19"/>
          <w:szCs w:val="19"/>
          <w:color w:val="auto"/>
        </w:rPr>
      </w:pPr>
    </w:p>
    <w:p>
      <w:pPr>
        <w:jc w:val="both"/>
        <w:ind w:firstLine="2600"/>
        <w:spacing w:after="0" w:line="276" w:lineRule="auto"/>
        <w:tabs>
          <w:tab w:leader="none" w:pos="3484"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Change in Effective Control of the Company</w:t>
      </w:r>
      <w:r>
        <w:rPr>
          <w:rFonts w:ascii="Arial" w:cs="Arial" w:eastAsia="Arial" w:hAnsi="Arial"/>
          <w:sz w:val="19"/>
          <w:szCs w:val="19"/>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50" w:lineRule="exact"/>
        <w:rPr>
          <w:rFonts w:ascii="Arial" w:cs="Arial" w:eastAsia="Arial" w:hAnsi="Arial"/>
          <w:sz w:val="19"/>
          <w:szCs w:val="19"/>
          <w:color w:val="auto"/>
        </w:rPr>
      </w:pPr>
    </w:p>
    <w:p>
      <w:pPr>
        <w:jc w:val="both"/>
        <w:ind w:firstLine="2600"/>
        <w:spacing w:after="0" w:line="255" w:lineRule="auto"/>
        <w:tabs>
          <w:tab w:leader="none" w:pos="3472"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Change in Ownership of a Substantial Portion of the Company’s Assets</w:t>
      </w:r>
      <w:r>
        <w:rPr>
          <w:rFonts w:ascii="Arial" w:cs="Arial" w:eastAsia="Arial" w:hAnsi="Arial"/>
          <w:sz w:val="20"/>
          <w:szCs w:val="20"/>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24" w:name="page125"/>
    <w:bookmarkEnd w:id="124"/>
    <w:p>
      <w:pPr>
        <w:jc w:val="both"/>
        <w:spacing w:after="0" w:line="294" w:lineRule="auto"/>
        <w:rPr>
          <w:sz w:val="20"/>
          <w:szCs w:val="20"/>
          <w:color w:val="auto"/>
        </w:rPr>
      </w:pPr>
      <w:r>
        <w:rPr>
          <w:rFonts w:ascii="Arial" w:cs="Arial" w:eastAsia="Arial" w:hAnsi="Arial"/>
          <w:sz w:val="19"/>
          <w:szCs w:val="19"/>
          <w:color w:val="auto"/>
        </w:rPr>
        <w:t>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33" w:lineRule="exact"/>
        <w:rPr>
          <w:sz w:val="20"/>
          <w:szCs w:val="20"/>
          <w:color w:val="auto"/>
        </w:rPr>
      </w:pPr>
    </w:p>
    <w:p>
      <w:pPr>
        <w:jc w:val="both"/>
        <w:ind w:firstLine="2593"/>
        <w:spacing w:after="0" w:line="254" w:lineRule="auto"/>
        <w:rPr>
          <w:sz w:val="20"/>
          <w:szCs w:val="20"/>
          <w:color w:val="auto"/>
        </w:rPr>
      </w:pPr>
      <w:r>
        <w:rPr>
          <w:rFonts w:ascii="Arial" w:cs="Arial" w:eastAsia="Arial" w:hAnsi="Arial"/>
          <w:sz w:val="21"/>
          <w:szCs w:val="21"/>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9" w:lineRule="exact"/>
        <w:rPr>
          <w:sz w:val="20"/>
          <w:szCs w:val="20"/>
          <w:color w:val="auto"/>
        </w:rPr>
      </w:pPr>
    </w:p>
    <w:p>
      <w:pPr>
        <w:jc w:val="both"/>
        <w:ind w:firstLine="2593"/>
        <w:spacing w:after="0" w:line="246"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80" w:lineRule="exact"/>
        <w:rPr>
          <w:sz w:val="20"/>
          <w:szCs w:val="20"/>
          <w:color w:val="auto"/>
        </w:rPr>
      </w:pPr>
    </w:p>
    <w:p>
      <w:pPr>
        <w:jc w:val="both"/>
        <w:ind w:right="20" w:firstLine="1728"/>
        <w:spacing w:after="0" w:line="270" w:lineRule="auto"/>
        <w:rPr>
          <w:sz w:val="20"/>
          <w:szCs w:val="20"/>
          <w:color w:val="auto"/>
        </w:rPr>
      </w:pPr>
      <w:r>
        <w:rPr>
          <w:rFonts w:ascii="Arial" w:cs="Arial" w:eastAsia="Arial" w:hAnsi="Arial"/>
          <w:sz w:val="21"/>
          <w:szCs w:val="21"/>
          <w:color w:val="auto"/>
        </w:rPr>
        <w:t>7.5. “</w:t>
      </w:r>
      <w:r>
        <w:rPr>
          <w:rFonts w:ascii="Arial" w:cs="Arial" w:eastAsia="Arial" w:hAnsi="Arial"/>
          <w:sz w:val="21"/>
          <w:szCs w:val="21"/>
          <w:u w:val="single" w:color="auto"/>
          <w:color w:val="auto"/>
        </w:rPr>
        <w:t>Change in Control Period</w:t>
      </w:r>
      <w:r>
        <w:rPr>
          <w:rFonts w:ascii="Arial" w:cs="Arial" w:eastAsia="Arial" w:hAnsi="Arial"/>
          <w:sz w:val="21"/>
          <w:szCs w:val="21"/>
          <w:color w:val="auto"/>
        </w:rPr>
        <w:t>” means the period beginning on the date one (1) month prior to a Change in Control and ending on (and inclusive of) the date that is the one (1) year anniversary of a Change in Control.</w:t>
      </w:r>
    </w:p>
    <w:p>
      <w:pPr>
        <w:spacing w:after="0" w:line="152"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7.6. “</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75" w:lineRule="exact"/>
        <w:rPr>
          <w:sz w:val="20"/>
          <w:szCs w:val="20"/>
          <w:color w:val="auto"/>
        </w:rPr>
      </w:pPr>
    </w:p>
    <w:p>
      <w:pPr>
        <w:jc w:val="both"/>
        <w:ind w:right="20" w:firstLine="1728"/>
        <w:spacing w:after="0" w:line="270" w:lineRule="auto"/>
        <w:rPr>
          <w:sz w:val="20"/>
          <w:szCs w:val="20"/>
          <w:color w:val="auto"/>
        </w:rPr>
      </w:pPr>
      <w:r>
        <w:rPr>
          <w:rFonts w:ascii="Arial" w:cs="Arial" w:eastAsia="Arial" w:hAnsi="Arial"/>
          <w:sz w:val="21"/>
          <w:szCs w:val="21"/>
          <w:color w:val="auto"/>
        </w:rPr>
        <w:t>7.7. “</w:t>
      </w: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 means Executive’s At-will Employment, Confidential Information, Invention Assignment, and Arbitration Agreement entered into with the Company dated June 1, 2021.</w:t>
      </w:r>
    </w:p>
    <w:p>
      <w:pPr>
        <w:spacing w:after="0" w:line="152" w:lineRule="exact"/>
        <w:rPr>
          <w:sz w:val="20"/>
          <w:szCs w:val="20"/>
          <w:color w:val="auto"/>
        </w:rPr>
      </w:pPr>
    </w:p>
    <w:p>
      <w:pPr>
        <w:ind w:left="1740"/>
        <w:spacing w:after="0"/>
        <w:tabs>
          <w:tab w:leader="none" w:pos="2680" w:val="left"/>
        </w:tabs>
        <w:rPr>
          <w:sz w:val="20"/>
          <w:szCs w:val="20"/>
          <w:color w:val="auto"/>
        </w:rPr>
      </w:pPr>
      <w:r>
        <w:rPr>
          <w:rFonts w:ascii="Arial" w:cs="Arial" w:eastAsia="Arial" w:hAnsi="Arial"/>
          <w:sz w:val="21"/>
          <w:szCs w:val="21"/>
          <w:color w:val="auto"/>
        </w:rPr>
        <w:t>7.8.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Director</w:t>
      </w:r>
      <w:r>
        <w:rPr>
          <w:rFonts w:ascii="Arial" w:cs="Arial" w:eastAsia="Arial" w:hAnsi="Arial"/>
          <w:sz w:val="19"/>
          <w:szCs w:val="19"/>
          <w:color w:val="auto"/>
        </w:rPr>
        <w:t>” means a member of the Board.</w:t>
      </w:r>
    </w:p>
    <w:p>
      <w:pPr>
        <w:spacing w:after="0" w:line="213" w:lineRule="exact"/>
        <w:rPr>
          <w:sz w:val="20"/>
          <w:szCs w:val="20"/>
          <w:color w:val="auto"/>
        </w:rPr>
      </w:pPr>
    </w:p>
    <w:p>
      <w:pPr>
        <w:ind w:left="1740"/>
        <w:spacing w:after="0"/>
        <w:tabs>
          <w:tab w:leader="none" w:pos="2680" w:val="left"/>
        </w:tabs>
        <w:rPr>
          <w:sz w:val="20"/>
          <w:szCs w:val="20"/>
          <w:color w:val="auto"/>
        </w:rPr>
      </w:pPr>
      <w:r>
        <w:rPr>
          <w:rFonts w:ascii="Arial" w:cs="Arial" w:eastAsia="Arial" w:hAnsi="Arial"/>
          <w:sz w:val="21"/>
          <w:szCs w:val="21"/>
          <w:color w:val="auto"/>
        </w:rPr>
        <w:t>7.9.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total and permanent disability as defined in Code Section 22(e)(3).</w:t>
      </w:r>
    </w:p>
    <w:p>
      <w:pPr>
        <w:spacing w:after="0" w:line="213"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7.10. “</w:t>
      </w:r>
      <w:r>
        <w:rPr>
          <w:rFonts w:ascii="Arial" w:cs="Arial" w:eastAsia="Arial" w:hAnsi="Arial"/>
          <w:sz w:val="20"/>
          <w:szCs w:val="20"/>
          <w:u w:val="single" w:color="auto"/>
          <w:color w:val="auto"/>
        </w:rPr>
        <w:t>Good Reason</w:t>
      </w:r>
      <w:r>
        <w:rPr>
          <w:rFonts w:ascii="Arial" w:cs="Arial" w:eastAsia="Arial" w:hAnsi="Arial"/>
          <w:sz w:val="20"/>
          <w:szCs w:val="20"/>
          <w:color w:val="auto"/>
        </w:rPr>
        <w:t>” means Executive’s termination of Executive’s employment with the Company within thirty (30) days following the end of the Company’s Cure Period (as defined below) as a result of the occurrence of any of the following without Executive’s written consent: (a) a material reduction in Executive’s duties or responsibilities that is inconsistent with Executive’s position, provided that a mere change of title alone shall not constitute such a material reduction;</w:t>
      </w:r>
    </w:p>
    <w:p>
      <w:pPr>
        <w:spacing w:after="0" w:line="4" w:lineRule="exact"/>
        <w:rPr>
          <w:sz w:val="20"/>
          <w:szCs w:val="20"/>
          <w:color w:val="auto"/>
        </w:rPr>
      </w:pPr>
    </w:p>
    <w:p>
      <w:pPr>
        <w:jc w:val="both"/>
        <w:ind w:firstLine="7"/>
        <w:spacing w:after="0" w:line="241" w:lineRule="auto"/>
        <w:tabs>
          <w:tab w:leader="none" w:pos="322"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requirement that Executive change Executive’s principal office to a facility that increases Executive’s commute by more than forty (40) miles from Executive’s commute to the location at which Executive was employed prior to such change; or (c) a material reduction in Executive’s base salary or a material reduction in Executive’s employee benefits (e.g., medical, dental, insurance, short- and long-term disability insurance and 401(k) retirement plan benefits, collectively (the “</w:t>
      </w:r>
      <w:r>
        <w:rPr>
          <w:rFonts w:ascii="Arial" w:cs="Arial" w:eastAsia="Arial" w:hAnsi="Arial"/>
          <w:sz w:val="21"/>
          <w:szCs w:val="21"/>
          <w:u w:val="single" w:color="auto"/>
          <w:color w:val="auto"/>
        </w:rPr>
        <w:t>Employee Benefits</w:t>
      </w:r>
      <w:r>
        <w:rPr>
          <w:rFonts w:ascii="Arial" w:cs="Arial" w:eastAsia="Arial" w:hAnsi="Arial"/>
          <w:sz w:val="21"/>
          <w:szCs w:val="21"/>
          <w:color w:val="auto"/>
        </w:rPr>
        <w:t>”) to which Executive is entitled immediately prior to such reduction (other than (x) in connection with a general decrease in the annual base salary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25" w:name="page126"/>
    <w:bookmarkEnd w:id="125"/>
    <w:p>
      <w:pPr>
        <w:jc w:val="both"/>
        <w:spacing w:after="0" w:line="244" w:lineRule="exact"/>
        <w:rPr>
          <w:sz w:val="20"/>
          <w:szCs w:val="20"/>
          <w:color w:val="auto"/>
        </w:rPr>
      </w:pPr>
      <w:r>
        <w:rPr>
          <w:rFonts w:ascii="Arial" w:cs="Arial" w:eastAsia="Arial" w:hAnsi="Arial"/>
          <w:sz w:val="21"/>
          <w:szCs w:val="21"/>
          <w:color w:val="auto"/>
        </w:rPr>
        <w:t>Employee Benefits of all similarly situated employees, and (y) following the Change in Control, to the extent necessary to make Executive’s annual base salary or Employee Benefits commensurate with those of other employees of the Company or its successor entity or parent entity who are similarly situated with Executive following such Change in Control); provided, however, that Executive must provide written notice to the Board of the condition that could constitute a “Good Reason” event within ninety (90) days following the initial existence of such condition and such condition must not have been remedied by the Company within thirty (30) days (the “</w:t>
      </w:r>
      <w:r>
        <w:rPr>
          <w:rFonts w:ascii="Arial" w:cs="Arial" w:eastAsia="Arial" w:hAnsi="Arial"/>
          <w:sz w:val="21"/>
          <w:szCs w:val="21"/>
          <w:u w:val="single" w:color="auto"/>
          <w:color w:val="auto"/>
        </w:rPr>
        <w:t>Cure Period</w:t>
      </w:r>
      <w:r>
        <w:rPr>
          <w:rFonts w:ascii="Arial" w:cs="Arial" w:eastAsia="Arial" w:hAnsi="Arial"/>
          <w:sz w:val="21"/>
          <w:szCs w:val="21"/>
          <w:color w:val="auto"/>
        </w:rPr>
        <w:t>”) of such written notice. To the extent Executive’s primary work location is not the Company’s corporate offices due to a shelter</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place order, quarantine order, or similar work</w:t>
      </w:r>
      <w:r>
        <w:rPr>
          <w:rFonts w:ascii="MS PGothic" w:cs="MS PGothic" w:eastAsia="MS PGothic" w:hAnsi="MS PGothic"/>
          <w:sz w:val="21"/>
          <w:szCs w:val="21"/>
          <w:color w:val="auto"/>
        </w:rPr>
        <w:t>‑</w:t>
      </w:r>
      <w:r>
        <w:rPr>
          <w:rFonts w:ascii="Arial" w:cs="Arial" w:eastAsia="Arial" w:hAnsi="Arial"/>
          <w:sz w:val="21"/>
          <w:szCs w:val="21"/>
          <w:color w:val="auto"/>
        </w:rPr>
        <w:t>from</w:t>
      </w:r>
      <w:r>
        <w:rPr>
          <w:rFonts w:ascii="MS PGothic" w:cs="MS PGothic" w:eastAsia="MS PGothic" w:hAnsi="MS PGothic"/>
          <w:sz w:val="21"/>
          <w:szCs w:val="21"/>
          <w:color w:val="auto"/>
        </w:rPr>
        <w:t>‑</w:t>
      </w:r>
      <w:r>
        <w:rPr>
          <w:rFonts w:ascii="Arial" w:cs="Arial" w:eastAsia="Arial" w:hAnsi="Arial"/>
          <w:sz w:val="21"/>
          <w:szCs w:val="21"/>
          <w:color w:val="auto"/>
        </w:rPr>
        <w:t>home requirement that applies to Executive, Executive’s primary office location, from which a change in location under the foregoing clause (b)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84"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1"/>
          <w:szCs w:val="21"/>
          <w:color w:val="auto"/>
        </w:rPr>
        <w:t>7.11. “</w:t>
      </w:r>
      <w:r>
        <w:rPr>
          <w:rFonts w:ascii="Arial" w:cs="Arial" w:eastAsia="Arial" w:hAnsi="Arial"/>
          <w:sz w:val="21"/>
          <w:szCs w:val="21"/>
          <w:u w:val="single" w:color="auto"/>
          <w:color w:val="auto"/>
        </w:rPr>
        <w:t>Qualifying Termination</w:t>
      </w:r>
      <w:r>
        <w:rPr>
          <w:rFonts w:ascii="Arial" w:cs="Arial" w:eastAsia="Arial" w:hAnsi="Arial"/>
          <w:sz w:val="21"/>
          <w:szCs w:val="21"/>
          <w:color w:val="auto"/>
        </w:rPr>
        <w:t>” means a termination of Executive’s employment with the Company either (a) by the Company without Cause and other than due to Executive’s death or Disability, or (b) by Executive for Good Reason.</w:t>
      </w:r>
    </w:p>
    <w:p>
      <w:pPr>
        <w:spacing w:after="0" w:line="169"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1"/>
          <w:szCs w:val="21"/>
          <w:color w:val="auto"/>
        </w:rPr>
        <w:t>7.12. “</w:t>
      </w:r>
      <w:r>
        <w:rPr>
          <w:rFonts w:ascii="Arial" w:cs="Arial" w:eastAsia="Arial" w:hAnsi="Arial"/>
          <w:sz w:val="21"/>
          <w:szCs w:val="21"/>
          <w:u w:val="single" w:color="auto"/>
          <w:color w:val="auto"/>
        </w:rPr>
        <w:t>Salary</w:t>
      </w:r>
      <w:r>
        <w:rPr>
          <w:rFonts w:ascii="Arial" w:cs="Arial" w:eastAsia="Arial" w:hAnsi="Arial"/>
          <w:sz w:val="21"/>
          <w:szCs w:val="21"/>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80" w:lineRule="exact"/>
        <w:rPr>
          <w:sz w:val="20"/>
          <w:szCs w:val="20"/>
          <w:color w:val="auto"/>
        </w:rPr>
      </w:pPr>
    </w:p>
    <w:p>
      <w:pPr>
        <w:jc w:val="both"/>
        <w:ind w:firstLine="1728"/>
        <w:spacing w:after="0" w:line="295" w:lineRule="auto"/>
        <w:rPr>
          <w:sz w:val="20"/>
          <w:szCs w:val="20"/>
          <w:color w:val="auto"/>
        </w:rPr>
      </w:pPr>
      <w:r>
        <w:rPr>
          <w:rFonts w:ascii="Arial" w:cs="Arial" w:eastAsia="Arial" w:hAnsi="Arial"/>
          <w:sz w:val="20"/>
          <w:szCs w:val="20"/>
          <w:color w:val="auto"/>
        </w:rPr>
        <w:t>7.13. “</w:t>
      </w:r>
      <w:r>
        <w:rPr>
          <w:rFonts w:ascii="Arial" w:cs="Arial" w:eastAsia="Arial" w:hAnsi="Arial"/>
          <w:sz w:val="20"/>
          <w:szCs w:val="20"/>
          <w:u w:val="single" w:color="auto"/>
          <w:color w:val="auto"/>
        </w:rPr>
        <w:t>Section 409A</w:t>
      </w:r>
      <w:r>
        <w:rPr>
          <w:rFonts w:ascii="Arial" w:cs="Arial" w:eastAsia="Arial" w:hAnsi="Arial"/>
          <w:sz w:val="20"/>
          <w:szCs w:val="20"/>
          <w:color w:val="auto"/>
        </w:rPr>
        <w:t>” means Code Section 409A and the Treasury Regulations and guidance thereunder, and any applicable state law equivalent, as each may be promulgated, amended or modified from time to time.</w:t>
      </w:r>
    </w:p>
    <w:p>
      <w:pPr>
        <w:spacing w:after="0" w:line="130"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7.14. “</w:t>
      </w:r>
      <w:r>
        <w:rPr>
          <w:rFonts w:ascii="Arial" w:cs="Arial" w:eastAsia="Arial" w:hAnsi="Arial"/>
          <w:sz w:val="21"/>
          <w:szCs w:val="21"/>
          <w:u w:val="single" w:color="auto"/>
          <w:color w:val="auto"/>
        </w:rPr>
        <w:t>Service-based Awards</w:t>
      </w:r>
      <w:r>
        <w:rPr>
          <w:rFonts w:ascii="Arial" w:cs="Arial" w:eastAsia="Arial" w:hAnsi="Arial"/>
          <w:sz w:val="21"/>
          <w:szCs w:val="21"/>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75"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7.15. “</w:t>
      </w:r>
      <w:r>
        <w:rPr>
          <w:rFonts w:ascii="Arial" w:cs="Arial" w:eastAsia="Arial" w:hAnsi="Arial"/>
          <w:sz w:val="21"/>
          <w:szCs w:val="21"/>
          <w:u w:val="single" w:color="auto"/>
          <w:color w:val="auto"/>
        </w:rPr>
        <w:t>Target Bonus</w:t>
      </w:r>
      <w:r>
        <w:rPr>
          <w:rFonts w:ascii="Arial" w:cs="Arial" w:eastAsia="Arial" w:hAnsi="Arial"/>
          <w:sz w:val="21"/>
          <w:szCs w:val="21"/>
          <w:color w:val="auto"/>
        </w:rPr>
        <w:t>” means Executive’s annual (or annualized, if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75" w:lineRule="exact"/>
        <w:rPr>
          <w:sz w:val="20"/>
          <w:szCs w:val="20"/>
          <w:color w:val="auto"/>
        </w:rPr>
      </w:pPr>
    </w:p>
    <w:p>
      <w:pPr>
        <w:jc w:val="both"/>
        <w:ind w:firstLine="871"/>
        <w:spacing w:after="0" w:line="266" w:lineRule="auto"/>
        <w:tabs>
          <w:tab w:leader="none" w:pos="1666"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26" w:name="page127"/>
    <w:bookmarkEnd w:id="126"/>
    <w:p>
      <w:pPr>
        <w:jc w:val="both"/>
        <w:spacing w:after="0" w:line="249" w:lineRule="auto"/>
        <w:rPr>
          <w:sz w:val="20"/>
          <w:szCs w:val="20"/>
          <w:color w:val="auto"/>
        </w:rPr>
      </w:pPr>
      <w:r>
        <w:rPr>
          <w:rFonts w:ascii="Arial" w:cs="Arial" w:eastAsia="Arial" w:hAnsi="Arial"/>
          <w:sz w:val="21"/>
          <w:szCs w:val="21"/>
          <w:color w:val="auto"/>
        </w:rPr>
        <w:t>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75" w:lineRule="exact"/>
        <w:rPr>
          <w:sz w:val="20"/>
          <w:szCs w:val="20"/>
          <w:color w:val="auto"/>
        </w:rPr>
      </w:pPr>
    </w:p>
    <w:p>
      <w:pPr>
        <w:ind w:left="1680" w:hanging="809"/>
        <w:spacing w:after="0"/>
        <w:tabs>
          <w:tab w:leader="none" w:pos="1680"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w:t>
      </w:r>
    </w:p>
    <w:p>
      <w:pPr>
        <w:spacing w:after="0" w:line="213"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General</w:t>
      </w:r>
      <w:r>
        <w:rPr>
          <w:rFonts w:ascii="Arial" w:cs="Arial" w:eastAsia="Arial" w:hAnsi="Arial"/>
          <w:sz w:val="21"/>
          <w:szCs w:val="21"/>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79"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Athira Pharma, Inc.</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4000 Mason Road, Suite 300</w:t>
      </w:r>
    </w:p>
    <w:p>
      <w:pPr>
        <w:ind w:left="2600"/>
        <w:spacing w:after="0"/>
        <w:rPr>
          <w:sz w:val="20"/>
          <w:szCs w:val="20"/>
          <w:color w:val="auto"/>
        </w:rPr>
      </w:pPr>
      <w:r>
        <w:rPr>
          <w:rFonts w:ascii="Arial" w:cs="Arial" w:eastAsia="Arial" w:hAnsi="Arial"/>
          <w:sz w:val="21"/>
          <w:szCs w:val="21"/>
          <w:color w:val="auto"/>
        </w:rPr>
        <w:t>Seattle, WA 98195</w:t>
      </w:r>
    </w:p>
    <w:p>
      <w:pPr>
        <w:ind w:left="2600"/>
        <w:spacing w:after="0"/>
        <w:rPr>
          <w:sz w:val="20"/>
          <w:szCs w:val="20"/>
          <w:color w:val="auto"/>
        </w:rPr>
      </w:pPr>
      <w:r>
        <w:rPr>
          <w:rFonts w:ascii="Arial" w:cs="Arial" w:eastAsia="Arial" w:hAnsi="Arial"/>
          <w:sz w:val="21"/>
          <w:szCs w:val="21"/>
          <w:color w:val="auto"/>
        </w:rPr>
        <w:t>Attention: Chief Executive Officer</w:t>
      </w:r>
    </w:p>
    <w:p>
      <w:pPr>
        <w:spacing w:after="0" w:line="195"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(a) the giving of the notice or (b) the end of any applicable cure period).</w:t>
      </w:r>
    </w:p>
    <w:p>
      <w:pPr>
        <w:spacing w:after="0" w:line="181" w:lineRule="exact"/>
        <w:rPr>
          <w:sz w:val="20"/>
          <w:szCs w:val="20"/>
          <w:color w:val="auto"/>
        </w:rPr>
      </w:pPr>
    </w:p>
    <w:p>
      <w:pPr>
        <w:jc w:val="both"/>
        <w:ind w:firstLine="871"/>
        <w:spacing w:after="0" w:line="249" w:lineRule="auto"/>
        <w:tabs>
          <w:tab w:leader="none" w:pos="1773"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Resignation</w:t>
      </w:r>
      <w:r>
        <w:rPr>
          <w:rFonts w:ascii="Arial" w:cs="Arial" w:eastAsia="Arial" w:hAnsi="Arial"/>
          <w:sz w:val="21"/>
          <w:szCs w:val="21"/>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74" w:lineRule="exact"/>
        <w:rPr>
          <w:rFonts w:ascii="Arial" w:cs="Arial" w:eastAsia="Arial" w:hAnsi="Arial"/>
          <w:sz w:val="21"/>
          <w:szCs w:val="21"/>
          <w:color w:val="auto"/>
        </w:rPr>
      </w:pPr>
    </w:p>
    <w:p>
      <w:pPr>
        <w:ind w:left="1780" w:hanging="909"/>
        <w:spacing w:after="0"/>
        <w:tabs>
          <w:tab w:leader="none" w:pos="1780"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Miscellaneous Provisions</w:t>
      </w:r>
      <w:r>
        <w:rPr>
          <w:rFonts w:ascii="Arial" w:cs="Arial" w:eastAsia="Arial" w:hAnsi="Arial"/>
          <w:sz w:val="21"/>
          <w:szCs w:val="21"/>
          <w:color w:val="auto"/>
        </w:rPr>
        <w:t>.</w:t>
      </w:r>
    </w:p>
    <w:p>
      <w:pPr>
        <w:spacing w:after="0" w:line="213"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No Duty to Mitigate</w:t>
      </w:r>
      <w:r>
        <w:rPr>
          <w:rFonts w:ascii="Arial" w:cs="Arial" w:eastAsia="Arial" w:hAnsi="Arial"/>
          <w:sz w:val="21"/>
          <w:szCs w:val="21"/>
          <w:color w:val="auto"/>
        </w:rPr>
        <w:t>. Executive will not be required to mitigate the amount of any payment contemplated by this Agreement, nor will any payment be reduced by any earnings that Executive may receive from any other source except as specified in Sections 3.4, 5.4 and 6.</w:t>
      </w:r>
    </w:p>
    <w:p>
      <w:pPr>
        <w:spacing w:after="0" w:line="169"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Waiver; Amendment</w:t>
      </w:r>
      <w:r>
        <w:rPr>
          <w:rFonts w:ascii="Arial" w:cs="Arial" w:eastAsia="Arial" w:hAnsi="Arial"/>
          <w:sz w:val="21"/>
          <w:szCs w:val="21"/>
          <w:color w:val="auto"/>
        </w:rPr>
        <w:t>. No provision of this Agreement will be modified, waived or discharged unless the modification, waiver or discharge is agreed to in writing and signed by an authorized officer of the Company (other than Executive) and by Executive. No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27" w:name="page128"/>
    <w:bookmarkEnd w:id="127"/>
    <w:p>
      <w:pPr>
        <w:jc w:val="both"/>
        <w:spacing w:after="0" w:line="270" w:lineRule="auto"/>
        <w:rPr>
          <w:sz w:val="20"/>
          <w:szCs w:val="20"/>
          <w:color w:val="auto"/>
        </w:rPr>
      </w:pPr>
      <w:r>
        <w:rPr>
          <w:rFonts w:ascii="Arial" w:cs="Arial" w:eastAsia="Arial" w:hAnsi="Arial"/>
          <w:sz w:val="21"/>
          <w:szCs w:val="21"/>
          <w:color w:val="auto"/>
        </w:rPr>
        <w:t>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52" w:lineRule="exact"/>
        <w:rPr>
          <w:sz w:val="20"/>
          <w:szCs w:val="20"/>
          <w:color w:val="auto"/>
        </w:rPr>
      </w:pPr>
    </w:p>
    <w:p>
      <w:pPr>
        <w:jc w:val="both"/>
        <w:ind w:right="20" w:firstLine="1728"/>
        <w:spacing w:after="0" w:line="270"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Headings</w:t>
      </w:r>
      <w:r>
        <w:rPr>
          <w:rFonts w:ascii="Arial" w:cs="Arial" w:eastAsia="Arial" w:hAnsi="Arial"/>
          <w:sz w:val="21"/>
          <w:szCs w:val="21"/>
          <w:color w:val="auto"/>
        </w:rPr>
        <w:t>. Headings are provided herein for convenience only, and will not serve as a basis for interpretation or construction of this Agreement.</w:t>
      </w:r>
    </w:p>
    <w:p>
      <w:pPr>
        <w:spacing w:after="0" w:line="152"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the Confidentiality Agreement and Executive’s employment letter with the Company dated April 27, 2021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75"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75"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21"/>
          <w:szCs w:val="21"/>
          <w:color w:val="auto"/>
        </w:rPr>
        <w:t xml:space="preserve">11.6.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75" w:lineRule="exact"/>
        <w:rPr>
          <w:sz w:val="20"/>
          <w:szCs w:val="20"/>
          <w:color w:val="auto"/>
        </w:rPr>
      </w:pPr>
    </w:p>
    <w:p>
      <w:pPr>
        <w:jc w:val="both"/>
        <w:ind w:firstLine="1728"/>
        <w:spacing w:after="0" w:line="245" w:lineRule="exact"/>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u w:val="single" w:color="auto"/>
          <w:color w:val="auto"/>
        </w:rPr>
        <w:t>Withholding</w:t>
      </w:r>
      <w:r>
        <w:rPr>
          <w:rFonts w:ascii="Arial" w:cs="Arial" w:eastAsia="Arial" w:hAnsi="Arial"/>
          <w:sz w:val="21"/>
          <w:szCs w:val="21"/>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21"/>
          <w:szCs w:val="21"/>
          <w:color w:val="auto"/>
        </w:rPr>
        <w:t>‑</w:t>
      </w:r>
      <w:r>
        <w:rPr>
          <w:rFonts w:ascii="Arial" w:cs="Arial" w:eastAsia="Arial" w:hAnsi="Arial"/>
          <w:sz w:val="21"/>
          <w:szCs w:val="21"/>
          <w:color w:val="auto"/>
        </w:rPr>
        <w:t>U.S. taxes or other required withholdings and payroll deductions (“</w:t>
      </w:r>
      <w:r>
        <w:rPr>
          <w:rFonts w:ascii="Arial" w:cs="Arial" w:eastAsia="Arial" w:hAnsi="Arial"/>
          <w:sz w:val="21"/>
          <w:szCs w:val="21"/>
          <w:u w:val="single" w:color="auto"/>
          <w:color w:val="auto"/>
        </w:rPr>
        <w:t>Withholdings</w:t>
      </w:r>
      <w:r>
        <w:rPr>
          <w:rFonts w:ascii="Arial" w:cs="Arial" w:eastAsia="Arial" w:hAnsi="Arial"/>
          <w:sz w:val="21"/>
          <w:szCs w:val="21"/>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84" w:lineRule="exact"/>
        <w:rPr>
          <w:sz w:val="20"/>
          <w:szCs w:val="20"/>
          <w:color w:val="auto"/>
        </w:rPr>
      </w:pPr>
    </w:p>
    <w:p>
      <w:pPr>
        <w:jc w:val="both"/>
        <w:ind w:right="20" w:firstLine="1728"/>
        <w:spacing w:after="0" w:line="270"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will be deemed an original, but all of which together will constitute one and the same instrument.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28" w:name="page129"/>
    <w:bookmarkEnd w:id="128"/>
    <w:p>
      <w:pPr>
        <w:ind w:firstLine="864"/>
        <w:spacing w:after="0" w:line="270" w:lineRule="auto"/>
        <w:rPr>
          <w:sz w:val="20"/>
          <w:szCs w:val="20"/>
          <w:color w:val="auto"/>
        </w:rPr>
      </w:pPr>
      <w:r>
        <w:rPr>
          <w:rFonts w:ascii="Arial" w:cs="Arial" w:eastAsia="Arial" w:hAnsi="Arial"/>
          <w:sz w:val="21"/>
          <w:szCs w:val="21"/>
          <w:color w:val="auto"/>
        </w:rPr>
        <w:t>By her, his, or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400" w:type="dxa"/>
            <w:vAlign w:val="bottom"/>
          </w:tcPr>
          <w:p>
            <w:pPr>
              <w:spacing w:after="0"/>
              <w:rPr>
                <w:sz w:val="20"/>
                <w:szCs w:val="20"/>
                <w:color w:val="auto"/>
              </w:rPr>
            </w:pPr>
            <w:r>
              <w:rPr>
                <w:rFonts w:ascii="Arial" w:cs="Arial" w:eastAsia="Arial" w:hAnsi="Arial"/>
                <w:sz w:val="21"/>
                <w:szCs w:val="21"/>
                <w:b w:val="1"/>
                <w:bCs w:val="1"/>
                <w:color w:val="auto"/>
              </w:rPr>
              <w:t>COMPANY</w:t>
            </w:r>
          </w:p>
        </w:tc>
        <w:tc>
          <w:tcPr>
            <w:tcW w:w="21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1"/>
                <w:szCs w:val="21"/>
                <w:b w:val="1"/>
                <w:bCs w:val="1"/>
                <w:color w:val="auto"/>
              </w:rPr>
              <w:t>ATHIRA PHARMA, INC.</w:t>
            </w:r>
          </w:p>
        </w:tc>
        <w:tc>
          <w:tcPr>
            <w:tcW w:w="0" w:type="dxa"/>
            <w:vAlign w:val="bottom"/>
          </w:tcPr>
          <w:p>
            <w:pPr>
              <w:spacing w:after="0"/>
              <w:rPr>
                <w:sz w:val="1"/>
                <w:szCs w:val="1"/>
                <w:color w:val="auto"/>
              </w:rPr>
            </w:pPr>
          </w:p>
        </w:tc>
      </w:tr>
      <w:tr>
        <w:trPr>
          <w:trHeight w:val="471"/>
        </w:trPr>
        <w:tc>
          <w:tcPr>
            <w:tcW w:w="3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1"/>
                <w:szCs w:val="21"/>
                <w:color w:val="auto"/>
              </w:rPr>
              <w:t>By:   /s/ Glenna Mileson</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1"/>
                <w:szCs w:val="21"/>
                <w:color w:val="auto"/>
              </w:rPr>
              <w:t>Title: Chief Financial Officer</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3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1"/>
                <w:szCs w:val="21"/>
                <w:color w:val="auto"/>
              </w:rPr>
              <w:t>Date: July 26, 2021</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21"/>
                <w:szCs w:val="21"/>
                <w:b w:val="1"/>
                <w:bCs w:val="1"/>
                <w:color w:val="auto"/>
              </w:rPr>
              <w:t>EXECUTIVE</w:t>
            </w:r>
          </w:p>
        </w:tc>
        <w:tc>
          <w:tcPr>
            <w:tcW w:w="2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40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21"/>
                <w:szCs w:val="21"/>
                <w:color w:val="auto"/>
              </w:rPr>
              <w:t>/s/ Mark Worthington</w:t>
            </w:r>
          </w:p>
        </w:tc>
        <w:tc>
          <w:tcPr>
            <w:tcW w:w="0" w:type="dxa"/>
            <w:vAlign w:val="bottom"/>
          </w:tcPr>
          <w:p>
            <w:pPr>
              <w:spacing w:after="0"/>
              <w:rPr>
                <w:sz w:val="1"/>
                <w:szCs w:val="1"/>
                <w:color w:val="auto"/>
              </w:rPr>
            </w:pPr>
          </w:p>
        </w:tc>
      </w:tr>
      <w:tr>
        <w:trPr>
          <w:trHeight w:val="475"/>
        </w:trPr>
        <w:tc>
          <w:tcPr>
            <w:tcW w:w="3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1"/>
                <w:szCs w:val="21"/>
                <w:color w:val="auto"/>
              </w:rPr>
              <w:t>Date: July 26, 2021</w:t>
            </w:r>
          </w:p>
        </w:tc>
        <w:tc>
          <w:tcPr>
            <w:tcW w:w="0" w:type="dxa"/>
            <w:vAlign w:val="bottom"/>
          </w:tcPr>
          <w:p>
            <w:pPr>
              <w:spacing w:after="0"/>
              <w:rPr>
                <w:sz w:val="1"/>
                <w:szCs w:val="1"/>
                <w:color w:val="auto"/>
              </w:rPr>
            </w:pPr>
          </w:p>
        </w:tc>
      </w:tr>
      <w:tr>
        <w:trPr>
          <w:trHeight w:val="940"/>
        </w:trPr>
        <w:tc>
          <w:tcPr>
            <w:tcW w:w="3400" w:type="dxa"/>
            <w:vAlign w:val="bottom"/>
          </w:tcPr>
          <w:p>
            <w:pPr>
              <w:spacing w:after="0"/>
              <w:rPr>
                <w:sz w:val="24"/>
                <w:szCs w:val="24"/>
                <w:color w:val="auto"/>
              </w:rPr>
            </w:pPr>
          </w:p>
        </w:tc>
        <w:tc>
          <w:tcPr>
            <w:tcW w:w="2740" w:type="dxa"/>
            <w:vAlign w:val="bottom"/>
            <w:gridSpan w:val="2"/>
          </w:tcPr>
          <w:p>
            <w:pPr>
              <w:jc w:val="right"/>
              <w:ind w:right="293"/>
              <w:spacing w:after="0"/>
              <w:rPr>
                <w:sz w:val="20"/>
                <w:szCs w:val="20"/>
                <w:color w:val="auto"/>
              </w:rPr>
            </w:pPr>
            <w:r>
              <w:rPr>
                <w:rFonts w:ascii="Arial" w:cs="Arial" w:eastAsia="Arial" w:hAnsi="Arial"/>
                <w:sz w:val="21"/>
                <w:szCs w:val="21"/>
                <w:color w:val="auto"/>
              </w:rPr>
              <w:t>12</w:t>
            </w:r>
          </w:p>
        </w:tc>
        <w:tc>
          <w:tcPr>
            <w:tcW w:w="5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2" w:right="339" w:bottom="1440" w:gutter="0" w:footer="0" w:header="0"/>
        </w:sectPr>
      </w:pPr>
    </w:p>
    <w:bookmarkStart w:id="129" w:name="page130"/>
    <w:bookmarkEnd w:id="129"/>
    <w:p>
      <w:pPr>
        <w:ind w:left="10140"/>
        <w:spacing w:after="0"/>
        <w:rPr>
          <w:sz w:val="20"/>
          <w:szCs w:val="20"/>
          <w:color w:val="auto"/>
        </w:rPr>
      </w:pPr>
      <w:r>
        <w:rPr>
          <w:rFonts w:ascii="Arial" w:cs="Arial" w:eastAsia="Arial" w:hAnsi="Arial"/>
          <w:sz w:val="19"/>
          <w:szCs w:val="19"/>
          <w:b w:val="1"/>
          <w:bCs w:val="1"/>
          <w:color w:val="auto"/>
        </w:rPr>
        <w:t>Exhibit 10.5</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FIRST AMENDMENT TO LEASE</w:t>
      </w:r>
    </w:p>
    <w:p>
      <w:pPr>
        <w:spacing w:after="0" w:line="213"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This First Amendment to Lease (this “</w:t>
      </w:r>
      <w:r>
        <w:rPr>
          <w:rFonts w:ascii="Arial" w:cs="Arial" w:eastAsia="Arial" w:hAnsi="Arial"/>
          <w:sz w:val="21"/>
          <w:szCs w:val="21"/>
          <w:b w:val="1"/>
          <w:bCs w:val="1"/>
          <w:color w:val="auto"/>
        </w:rPr>
        <w:t>First Amendment</w:t>
      </w:r>
      <w:r>
        <w:rPr>
          <w:rFonts w:ascii="Arial" w:cs="Arial" w:eastAsia="Arial" w:hAnsi="Arial"/>
          <w:sz w:val="21"/>
          <w:szCs w:val="21"/>
          <w:color w:val="auto"/>
        </w:rPr>
        <w:t>”) is dated as of June 28, 2021, and is by and between NITROGEN PROPCO 2020, L.P., a Delaware limited partnership (“</w:t>
      </w:r>
      <w:r>
        <w:rPr>
          <w:rFonts w:ascii="Arial" w:cs="Arial" w:eastAsia="Arial" w:hAnsi="Arial"/>
          <w:sz w:val="21"/>
          <w:szCs w:val="21"/>
          <w:b w:val="1"/>
          <w:bCs w:val="1"/>
          <w:color w:val="auto"/>
        </w:rPr>
        <w:t>Landlord</w:t>
      </w:r>
      <w:r>
        <w:rPr>
          <w:rFonts w:ascii="Arial" w:cs="Arial" w:eastAsia="Arial" w:hAnsi="Arial"/>
          <w:sz w:val="21"/>
          <w:szCs w:val="21"/>
          <w:color w:val="auto"/>
        </w:rPr>
        <w:t>”), and ATHIRA PHARMA, INC., a Delaware corporation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 E C I T A L S</w:t>
      </w:r>
      <w:r>
        <w:rPr>
          <w:rFonts w:ascii="Arial" w:cs="Arial" w:eastAsia="Arial" w:hAnsi="Arial"/>
          <w:sz w:val="21"/>
          <w:szCs w:val="21"/>
          <w:color w:val="auto"/>
        </w:rPr>
        <w:t xml:space="preserve"> :</w:t>
      </w:r>
    </w:p>
    <w:p>
      <w:pPr>
        <w:spacing w:after="0" w:line="213" w:lineRule="exact"/>
        <w:rPr>
          <w:sz w:val="20"/>
          <w:szCs w:val="20"/>
          <w:color w:val="auto"/>
        </w:rPr>
      </w:pPr>
    </w:p>
    <w:p>
      <w:pPr>
        <w:ind w:right="20" w:firstLine="871"/>
        <w:spacing w:after="0" w:line="274" w:lineRule="auto"/>
        <w:tabs>
          <w:tab w:leader="none" w:pos="171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Landlord (as successor-in-interest to North Creek Parkway Center Investors, LP, a California limited partnership) and Tenant are parties to that certain Lease, dated July 20, 2020 (the “</w:t>
      </w:r>
      <w:r>
        <w:rPr>
          <w:rFonts w:ascii="Arial" w:cs="Arial" w:eastAsia="Arial" w:hAnsi="Arial"/>
          <w:sz w:val="19"/>
          <w:szCs w:val="19"/>
          <w:b w:val="1"/>
          <w:bCs w:val="1"/>
          <w:color w:val="auto"/>
        </w:rPr>
        <w:t>Lease</w:t>
      </w:r>
      <w:r>
        <w:rPr>
          <w:rFonts w:ascii="Arial" w:cs="Arial" w:eastAsia="Arial" w:hAnsi="Arial"/>
          <w:sz w:val="19"/>
          <w:szCs w:val="19"/>
          <w:color w:val="auto"/>
        </w:rPr>
        <w:t>”), pursuant to which Landlord leases to Tenant and Tenant leases from Landlord approximately 19,326 rentable square feet consisting of (a) approximately 11,163 rentable square feet of space commonly known as Suite 104 (“</w:t>
      </w:r>
      <w:r>
        <w:rPr>
          <w:rFonts w:ascii="Arial" w:cs="Arial" w:eastAsia="Arial" w:hAnsi="Arial"/>
          <w:sz w:val="19"/>
          <w:szCs w:val="19"/>
          <w:b w:val="1"/>
          <w:bCs w:val="1"/>
          <w:color w:val="auto"/>
        </w:rPr>
        <w:t>Suite 104</w:t>
      </w:r>
      <w:r>
        <w:rPr>
          <w:rFonts w:ascii="Arial" w:cs="Arial" w:eastAsia="Arial" w:hAnsi="Arial"/>
          <w:sz w:val="19"/>
          <w:szCs w:val="19"/>
          <w:color w:val="auto"/>
        </w:rPr>
        <w:t>”), (b) approximately 6,169 rentable square feet of space commonly known as Suite 110 (“</w:t>
      </w:r>
      <w:r>
        <w:rPr>
          <w:rFonts w:ascii="Arial" w:cs="Arial" w:eastAsia="Arial" w:hAnsi="Arial"/>
          <w:sz w:val="19"/>
          <w:szCs w:val="19"/>
          <w:b w:val="1"/>
          <w:bCs w:val="1"/>
          <w:color w:val="auto"/>
        </w:rPr>
        <w:t>Suite 110</w:t>
      </w:r>
      <w:r>
        <w:rPr>
          <w:rFonts w:ascii="Arial" w:cs="Arial" w:eastAsia="Arial" w:hAnsi="Arial"/>
          <w:sz w:val="19"/>
          <w:szCs w:val="19"/>
          <w:color w:val="auto"/>
        </w:rPr>
        <w:t>”), and (c) approximately 1,994 rentable square feet of space commonly known as Suite 120 (“</w:t>
      </w:r>
      <w:r>
        <w:rPr>
          <w:rFonts w:ascii="Arial" w:cs="Arial" w:eastAsia="Arial" w:hAnsi="Arial"/>
          <w:sz w:val="19"/>
          <w:szCs w:val="19"/>
          <w:b w:val="1"/>
          <w:bCs w:val="1"/>
          <w:color w:val="auto"/>
        </w:rPr>
        <w:t>Suite 120</w:t>
      </w:r>
      <w:r>
        <w:rPr>
          <w:rFonts w:ascii="Arial" w:cs="Arial" w:eastAsia="Arial" w:hAnsi="Arial"/>
          <w:sz w:val="19"/>
          <w:szCs w:val="19"/>
          <w:color w:val="auto"/>
        </w:rPr>
        <w:t>” and, together with Suites 104 and 110, the “</w:t>
      </w:r>
      <w:r>
        <w:rPr>
          <w:rFonts w:ascii="Arial" w:cs="Arial" w:eastAsia="Arial" w:hAnsi="Arial"/>
          <w:sz w:val="19"/>
          <w:szCs w:val="19"/>
          <w:b w:val="1"/>
          <w:bCs w:val="1"/>
          <w:color w:val="auto"/>
        </w:rPr>
        <w:t>Premises</w:t>
      </w:r>
      <w:r>
        <w:rPr>
          <w:rFonts w:ascii="Arial" w:cs="Arial" w:eastAsia="Arial" w:hAnsi="Arial"/>
          <w:sz w:val="19"/>
          <w:szCs w:val="19"/>
          <w:color w:val="auto"/>
        </w:rPr>
        <w:t>”), all of which are located at that certain building designated as Building 5 located at 18706 North Creek Parkway, Bothell, Washington 98021 (the ”</w:t>
      </w:r>
      <w:r>
        <w:rPr>
          <w:rFonts w:ascii="Arial" w:cs="Arial" w:eastAsia="Arial" w:hAnsi="Arial"/>
          <w:sz w:val="19"/>
          <w:szCs w:val="19"/>
          <w:b w:val="1"/>
          <w:bCs w:val="1"/>
          <w:color w:val="auto"/>
        </w:rPr>
        <w:t>Building</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ind w:left="1700" w:hanging="829"/>
        <w:spacing w:after="0"/>
        <w:tabs>
          <w:tab w:leader="none" w:pos="170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Landlord and Tenant desire to amend the Lease upon and subject to the terms set forth in this First</w:t>
      </w:r>
    </w:p>
    <w:p>
      <w:pPr>
        <w:spacing w:after="0" w:line="17"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Amendment.</w:t>
      </w:r>
    </w:p>
    <w:p>
      <w:pPr>
        <w:spacing w:after="0" w:line="195" w:lineRule="exact"/>
        <w:rPr>
          <w:sz w:val="20"/>
          <w:szCs w:val="20"/>
          <w:color w:val="auto"/>
        </w:rPr>
      </w:pPr>
    </w:p>
    <w:p>
      <w:pPr>
        <w:ind w:firstLine="864"/>
        <w:spacing w:after="0" w:line="270" w:lineRule="auto"/>
        <w:rPr>
          <w:sz w:val="20"/>
          <w:szCs w:val="20"/>
          <w:color w:val="auto"/>
        </w:rPr>
      </w:pPr>
      <w:r>
        <w:rPr>
          <w:rFonts w:ascii="Arial" w:cs="Arial" w:eastAsia="Arial" w:hAnsi="Arial"/>
          <w:sz w:val="21"/>
          <w:szCs w:val="21"/>
          <w:color w:val="auto"/>
        </w:rPr>
        <w:t>NOW, THEREFORE, for valuable consideration, the receipt and sufficiency of which is hereby acknowledged by Landlord and Tenant, the parties agree as follows.</w:t>
      </w:r>
    </w:p>
    <w:p>
      <w:pPr>
        <w:spacing w:after="0" w:line="146" w:lineRule="exact"/>
        <w:rPr>
          <w:sz w:val="20"/>
          <w:szCs w:val="20"/>
          <w:color w:val="auto"/>
        </w:rPr>
      </w:pPr>
    </w:p>
    <w:p>
      <w:pPr>
        <w:ind w:firstLine="871"/>
        <w:spacing w:after="0" w:line="276" w:lineRule="auto"/>
        <w:tabs>
          <w:tab w:leader="none" w:pos="1666" w:val="left"/>
        </w:tabs>
        <w:numPr>
          <w:ilvl w:val="0"/>
          <w:numId w:val="102"/>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Defined Terms</w:t>
      </w:r>
      <w:r>
        <w:rPr>
          <w:rFonts w:ascii="Arial" w:cs="Arial" w:eastAsia="Arial" w:hAnsi="Arial"/>
          <w:sz w:val="21"/>
          <w:szCs w:val="21"/>
          <w:color w:val="auto"/>
        </w:rPr>
        <w:t>. Unless otherwise defined herein, all capitalized terms used in this First Amendment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have the same meaning as they are given in the Lease.</w:t>
      </w:r>
    </w:p>
    <w:p>
      <w:pPr>
        <w:spacing w:after="0" w:line="140" w:lineRule="exact"/>
        <w:rPr>
          <w:rFonts w:ascii="Arial" w:cs="Arial" w:eastAsia="Arial" w:hAnsi="Arial"/>
          <w:sz w:val="21"/>
          <w:szCs w:val="21"/>
          <w:color w:val="auto"/>
        </w:rPr>
      </w:pPr>
    </w:p>
    <w:p>
      <w:pPr>
        <w:jc w:val="both"/>
        <w:ind w:firstLine="871"/>
        <w:spacing w:after="0" w:line="248" w:lineRule="auto"/>
        <w:tabs>
          <w:tab w:leader="none" w:pos="1666" w:val="left"/>
        </w:tabs>
        <w:numPr>
          <w:ilvl w:val="0"/>
          <w:numId w:val="102"/>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Confirmation of Lease Term Dates</w:t>
      </w:r>
      <w:r>
        <w:rPr>
          <w:rFonts w:ascii="Arial" w:cs="Arial" w:eastAsia="Arial" w:hAnsi="Arial"/>
          <w:sz w:val="21"/>
          <w:szCs w:val="21"/>
          <w:color w:val="auto"/>
        </w:rPr>
        <w:t>. Tenant hereby acknowledges and agrees that Tenant has accepted</w:t>
      </w:r>
      <w:r>
        <w:rPr>
          <w:rFonts w:ascii="Arial" w:cs="Arial" w:eastAsia="Arial" w:hAnsi="Arial"/>
          <w:sz w:val="21"/>
          <w:szCs w:val="21"/>
          <w:b w:val="1"/>
          <w:bCs w:val="1"/>
          <w:color w:val="auto"/>
        </w:rPr>
        <w:t xml:space="preserve"> </w:t>
      </w:r>
      <w:r>
        <w:rPr>
          <w:rFonts w:ascii="Arial" w:cs="Arial" w:eastAsia="Arial" w:hAnsi="Arial"/>
          <w:sz w:val="21"/>
          <w:szCs w:val="21"/>
          <w:color w:val="auto"/>
        </w:rPr>
        <w:t>possession of the Premises and currently occupies Suite 104 (but has yet to occupy Suites 110 and 120). The Commencement Date of the Lease with respect to Suite 104 was September 1, 2020; the Commencement Date of the Lease with respect to Suite 110 was March 1, 2021; and the Commencement Date of the Lease with respect to Suite 120 was May 1, 2021. The expiration date of the Lease is August 31, 2027.</w:t>
      </w:r>
    </w:p>
    <w:p>
      <w:pPr>
        <w:spacing w:after="0" w:line="169" w:lineRule="exact"/>
        <w:rPr>
          <w:rFonts w:ascii="Arial" w:cs="Arial" w:eastAsia="Arial" w:hAnsi="Arial"/>
          <w:sz w:val="21"/>
          <w:szCs w:val="21"/>
          <w:color w:val="auto"/>
        </w:rPr>
      </w:pPr>
    </w:p>
    <w:p>
      <w:pPr>
        <w:ind w:firstLine="871"/>
        <w:spacing w:after="0" w:line="276" w:lineRule="auto"/>
        <w:tabs>
          <w:tab w:leader="none" w:pos="1666" w:val="left"/>
        </w:tabs>
        <w:numPr>
          <w:ilvl w:val="0"/>
          <w:numId w:val="102"/>
        </w:numPr>
        <w:rPr>
          <w:rFonts w:ascii="Arial" w:cs="Arial" w:eastAsia="Arial" w:hAnsi="Arial"/>
          <w:sz w:val="21"/>
          <w:szCs w:val="21"/>
          <w:color w:val="auto"/>
        </w:rPr>
      </w:pPr>
      <w:r>
        <w:rPr>
          <w:rFonts w:ascii="Arial" w:cs="Arial" w:eastAsia="Arial" w:hAnsi="Arial"/>
          <w:sz w:val="21"/>
          <w:szCs w:val="21"/>
          <w:b w:val="1"/>
          <w:bCs w:val="1"/>
          <w:u w:val="single" w:color="auto"/>
          <w:color w:val="auto"/>
        </w:rPr>
        <w:t>Tenant Work Letter</w:t>
      </w:r>
      <w:r>
        <w:rPr>
          <w:rFonts w:ascii="Arial" w:cs="Arial" w:eastAsia="Arial" w:hAnsi="Arial"/>
          <w:sz w:val="21"/>
          <w:szCs w:val="21"/>
          <w:color w:val="auto"/>
        </w:rPr>
        <w:t>. The first paragraph of Section 1 of the Tenant Work Letter attached to the Lease as</w:t>
      </w:r>
      <w:r>
        <w:rPr>
          <w:rFonts w:ascii="Arial" w:cs="Arial" w:eastAsia="Arial" w:hAnsi="Arial"/>
          <w:sz w:val="21"/>
          <w:szCs w:val="21"/>
          <w:b w:val="1"/>
          <w:bCs w:val="1"/>
          <w:color w:val="auto"/>
        </w:rPr>
        <w:t xml:space="preserve"> </w:t>
      </w:r>
      <w:r>
        <w:rPr>
          <w:rFonts w:ascii="Arial" w:cs="Arial" w:eastAsia="Arial" w:hAnsi="Arial"/>
          <w:sz w:val="21"/>
          <w:szCs w:val="21"/>
          <w:color w:val="auto"/>
        </w:rPr>
        <w:t>Exhibit B is hereby amended and restated in its entirety as follows:</w:t>
      </w:r>
    </w:p>
    <w:p>
      <w:pPr>
        <w:spacing w:after="0" w:line="14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“Landlord agrees to provide Tenant with the Tenant Improvement Allowance set forth in Section 12 of the Summary (the “Allowance”) for the design, planning and construction of certain Tenant Improvements (as defined below). The Allowance must be used by Tenant with respect to each portion of the Premises, if at all, by May 1, 2022, and any unused portion of the Allowance outstanding as of such date shall be retained by Landlord.”</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NORTH CREEK PARKWAY CENTER</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[Labels &amp; Lists,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191135</wp:posOffset>
            </wp:positionV>
            <wp:extent cx="717613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0" w:name="page131"/>
    <w:bookmarkEnd w:id="130"/>
    <w:p>
      <w:pPr>
        <w:jc w:val="both"/>
        <w:ind w:right="20" w:firstLine="871"/>
        <w:spacing w:after="0" w:line="268" w:lineRule="auto"/>
        <w:tabs>
          <w:tab w:leader="none" w:pos="1666" w:val="left"/>
        </w:tabs>
        <w:numPr>
          <w:ilvl w:val="0"/>
          <w:numId w:val="103"/>
        </w:numPr>
        <w:rPr>
          <w:rFonts w:ascii="Arial" w:cs="Arial" w:eastAsia="Arial" w:hAnsi="Arial"/>
          <w:sz w:val="20"/>
          <w:szCs w:val="20"/>
          <w:color w:val="auto"/>
        </w:rPr>
      </w:pPr>
      <w:r>
        <w:rPr>
          <w:rFonts w:ascii="Arial" w:cs="Arial" w:eastAsia="Arial" w:hAnsi="Arial"/>
          <w:sz w:val="20"/>
          <w:szCs w:val="20"/>
          <w:b w:val="1"/>
          <w:bCs w:val="1"/>
          <w:u w:val="single" w:color="auto"/>
          <w:color w:val="auto"/>
        </w:rPr>
        <w:t>Suite 104 Tenant Improvement Allowance</w:t>
      </w:r>
      <w:r>
        <w:rPr>
          <w:rFonts w:ascii="Arial" w:cs="Arial" w:eastAsia="Arial" w:hAnsi="Arial"/>
          <w:sz w:val="20"/>
          <w:szCs w:val="20"/>
          <w:color w:val="auto"/>
        </w:rPr>
        <w:t>. Tenant hereby acknowledges and agrees that Tenant has used the</w:t>
      </w:r>
      <w:r>
        <w:rPr>
          <w:rFonts w:ascii="Arial" w:cs="Arial" w:eastAsia="Arial" w:hAnsi="Arial"/>
          <w:sz w:val="20"/>
          <w:szCs w:val="20"/>
          <w:b w:val="1"/>
          <w:bCs w:val="1"/>
          <w:color w:val="auto"/>
        </w:rPr>
        <w:t xml:space="preserve"> </w:t>
      </w:r>
      <w:r>
        <w:rPr>
          <w:rFonts w:ascii="Arial" w:cs="Arial" w:eastAsia="Arial" w:hAnsi="Arial"/>
          <w:sz w:val="20"/>
          <w:szCs w:val="20"/>
          <w:color w:val="auto"/>
        </w:rPr>
        <w:t>entirety of its allocated Tenant Improvement Allowance with respect to Suite 104 and Landlord shall not be obligated to provide or pay for any additional improvement work or services related to the improvement of Suite 104. The remaining Tenant Improvement Allowance may be allocated between Suite 110 and Suite 120 in Tenant’s sole discretion.</w:t>
      </w:r>
    </w:p>
    <w:p>
      <w:pPr>
        <w:spacing w:after="0" w:line="149" w:lineRule="exact"/>
        <w:rPr>
          <w:rFonts w:ascii="Arial" w:cs="Arial" w:eastAsia="Arial" w:hAnsi="Arial"/>
          <w:sz w:val="20"/>
          <w:szCs w:val="20"/>
          <w:color w:val="auto"/>
        </w:rPr>
      </w:pPr>
    </w:p>
    <w:p>
      <w:pPr>
        <w:ind w:right="20" w:firstLine="871"/>
        <w:spacing w:after="0" w:line="276" w:lineRule="auto"/>
        <w:tabs>
          <w:tab w:leader="none" w:pos="1666" w:val="left"/>
        </w:tabs>
        <w:numPr>
          <w:ilvl w:val="0"/>
          <w:numId w:val="103"/>
        </w:numPr>
        <w:rPr>
          <w:rFonts w:ascii="Arial" w:cs="Arial" w:eastAsia="Arial" w:hAnsi="Arial"/>
          <w:sz w:val="21"/>
          <w:szCs w:val="21"/>
          <w:color w:val="auto"/>
        </w:rPr>
      </w:pPr>
      <w:r>
        <w:rPr>
          <w:rFonts w:ascii="Arial" w:cs="Arial" w:eastAsia="Arial" w:hAnsi="Arial"/>
          <w:sz w:val="21"/>
          <w:szCs w:val="21"/>
          <w:b w:val="1"/>
          <w:bCs w:val="1"/>
          <w:u w:val="single" w:color="auto"/>
          <w:color w:val="auto"/>
        </w:rPr>
        <w:t>No Other Modifications</w:t>
      </w:r>
      <w:r>
        <w:rPr>
          <w:rFonts w:ascii="Arial" w:cs="Arial" w:eastAsia="Arial" w:hAnsi="Arial"/>
          <w:sz w:val="21"/>
          <w:szCs w:val="21"/>
          <w:color w:val="auto"/>
        </w:rPr>
        <w:t>. Except as otherwise provided herein, all other terms and provisions of the Lease</w:t>
      </w:r>
      <w:r>
        <w:rPr>
          <w:rFonts w:ascii="Arial" w:cs="Arial" w:eastAsia="Arial" w:hAnsi="Arial"/>
          <w:sz w:val="21"/>
          <w:szCs w:val="21"/>
          <w:b w:val="1"/>
          <w:bCs w:val="1"/>
          <w:color w:val="auto"/>
        </w:rPr>
        <w:t xml:space="preserve"> </w:t>
      </w:r>
      <w:r>
        <w:rPr>
          <w:rFonts w:ascii="Arial" w:cs="Arial" w:eastAsia="Arial" w:hAnsi="Arial"/>
          <w:sz w:val="21"/>
          <w:szCs w:val="21"/>
          <w:color w:val="auto"/>
        </w:rPr>
        <w:t>shall remain in full force and effect, unmodified by this First Amendment.</w:t>
      </w:r>
    </w:p>
    <w:p>
      <w:pPr>
        <w:spacing w:after="0" w:line="140" w:lineRule="exact"/>
        <w:rPr>
          <w:rFonts w:ascii="Arial" w:cs="Arial" w:eastAsia="Arial" w:hAnsi="Arial"/>
          <w:sz w:val="21"/>
          <w:szCs w:val="21"/>
          <w:color w:val="auto"/>
        </w:rPr>
      </w:pPr>
    </w:p>
    <w:p>
      <w:pPr>
        <w:jc w:val="both"/>
        <w:ind w:right="20" w:firstLine="871"/>
        <w:spacing w:after="0" w:line="257" w:lineRule="auto"/>
        <w:tabs>
          <w:tab w:leader="none" w:pos="1666" w:val="left"/>
        </w:tabs>
        <w:numPr>
          <w:ilvl w:val="0"/>
          <w:numId w:val="103"/>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First Amendment may be executed in any number of original counterparts. Any such</w:t>
      </w:r>
      <w:r>
        <w:rPr>
          <w:rFonts w:ascii="Arial" w:cs="Arial" w:eastAsia="Arial" w:hAnsi="Arial"/>
          <w:sz w:val="21"/>
          <w:szCs w:val="21"/>
          <w:b w:val="1"/>
          <w:bCs w:val="1"/>
          <w:color w:val="auto"/>
        </w:rPr>
        <w:t xml:space="preserve"> </w:t>
      </w:r>
      <w:r>
        <w:rPr>
          <w:rFonts w:ascii="Arial" w:cs="Arial" w:eastAsia="Arial" w:hAnsi="Arial"/>
          <w:sz w:val="21"/>
          <w:szCs w:val="21"/>
          <w:color w:val="auto"/>
        </w:rPr>
        <w:t>counterpart, when executed, shall constitute an original of this First Amendment, and all such counterparts together shall constitute one and the same First Amendment.</w:t>
      </w:r>
    </w:p>
    <w:p>
      <w:pPr>
        <w:spacing w:after="0" w:line="160" w:lineRule="exact"/>
        <w:rPr>
          <w:rFonts w:ascii="Arial" w:cs="Arial" w:eastAsia="Arial" w:hAnsi="Arial"/>
          <w:sz w:val="21"/>
          <w:szCs w:val="21"/>
          <w:color w:val="auto"/>
        </w:rPr>
      </w:pPr>
    </w:p>
    <w:p>
      <w:pPr>
        <w:ind w:left="1680" w:hanging="809"/>
        <w:spacing w:after="0"/>
        <w:tabs>
          <w:tab w:leader="none" w:pos="1680" w:val="left"/>
        </w:tabs>
        <w:numPr>
          <w:ilvl w:val="0"/>
          <w:numId w:val="103"/>
        </w:numPr>
        <w:rPr>
          <w:rFonts w:ascii="Arial" w:cs="Arial" w:eastAsia="Arial" w:hAnsi="Arial"/>
          <w:sz w:val="19"/>
          <w:szCs w:val="19"/>
          <w:color w:val="auto"/>
        </w:rPr>
      </w:pPr>
      <w:r>
        <w:rPr>
          <w:rFonts w:ascii="Arial" w:cs="Arial" w:eastAsia="Arial" w:hAnsi="Arial"/>
          <w:sz w:val="19"/>
          <w:szCs w:val="19"/>
          <w:b w:val="1"/>
          <w:bCs w:val="1"/>
          <w:u w:val="single" w:color="auto"/>
          <w:color w:val="auto"/>
        </w:rPr>
        <w:t>Conflict</w:t>
      </w:r>
      <w:r>
        <w:rPr>
          <w:rFonts w:ascii="Arial" w:cs="Arial" w:eastAsia="Arial" w:hAnsi="Arial"/>
          <w:sz w:val="19"/>
          <w:szCs w:val="19"/>
          <w:color w:val="auto"/>
        </w:rPr>
        <w:t>. In the event of any conflict between the Lease and this First Amendment, this First Amendment shall</w:t>
      </w:r>
    </w:p>
    <w:p>
      <w:pPr>
        <w:spacing w:after="0" w:line="4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prevail.</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remainder of page intentionally left blank</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500" w:type="dxa"/>
            <w:vAlign w:val="bottom"/>
            <w:vMerge w:val="restart"/>
          </w:tcPr>
          <w:p>
            <w:pPr>
              <w:jc w:val="right"/>
              <w:ind w:right="1633"/>
              <w:spacing w:after="0"/>
              <w:rPr>
                <w:sz w:val="20"/>
                <w:szCs w:val="20"/>
                <w:color w:val="auto"/>
              </w:rPr>
            </w:pPr>
            <w:r>
              <w:rPr>
                <w:rFonts w:ascii="Arial" w:cs="Arial" w:eastAsia="Arial" w:hAnsi="Arial"/>
                <w:sz w:val="21"/>
                <w:szCs w:val="21"/>
                <w:color w:val="auto"/>
              </w:rPr>
              <w:t>-2-</w:t>
            </w:r>
          </w:p>
        </w:tc>
        <w:tc>
          <w:tcPr>
            <w:tcW w:w="3760" w:type="dxa"/>
            <w:vAlign w:val="bottom"/>
          </w:tcPr>
          <w:p>
            <w:pPr>
              <w:jc w:val="right"/>
              <w:spacing w:after="0"/>
              <w:rPr>
                <w:sz w:val="20"/>
                <w:szCs w:val="20"/>
                <w:color w:val="auto"/>
              </w:rPr>
            </w:pPr>
            <w:r>
              <w:rPr>
                <w:rFonts w:ascii="Arial" w:cs="Arial" w:eastAsia="Arial" w:hAnsi="Arial"/>
                <w:sz w:val="12"/>
                <w:szCs w:val="12"/>
                <w:color w:val="auto"/>
              </w:rPr>
              <w:t>NORTH CREEK PARKWAY CENTER</w:t>
            </w:r>
          </w:p>
        </w:tc>
        <w:tc>
          <w:tcPr>
            <w:tcW w:w="0" w:type="dxa"/>
            <w:vAlign w:val="bottom"/>
          </w:tcPr>
          <w:p>
            <w:pPr>
              <w:spacing w:after="0"/>
              <w:rPr>
                <w:sz w:val="1"/>
                <w:szCs w:val="1"/>
                <w:color w:val="auto"/>
              </w:rPr>
            </w:pPr>
          </w:p>
        </w:tc>
      </w:tr>
      <w:tr>
        <w:trPr>
          <w:trHeight w:val="158"/>
        </w:trPr>
        <w:tc>
          <w:tcPr>
            <w:tcW w:w="7500" w:type="dxa"/>
            <w:vAlign w:val="bottom"/>
            <w:vMerge w:val="continue"/>
          </w:tcPr>
          <w:p>
            <w:pPr>
              <w:spacing w:after="0"/>
              <w:rPr>
                <w:sz w:val="13"/>
                <w:szCs w:val="13"/>
                <w:color w:val="auto"/>
              </w:rPr>
            </w:pPr>
          </w:p>
        </w:tc>
        <w:tc>
          <w:tcPr>
            <w:tcW w:w="3760" w:type="dxa"/>
            <w:vAlign w:val="bottom"/>
          </w:tcPr>
          <w:p>
            <w:pPr>
              <w:jc w:val="right"/>
              <w:spacing w:after="0"/>
              <w:rPr>
                <w:sz w:val="20"/>
                <w:szCs w:val="20"/>
                <w:color w:val="auto"/>
              </w:rPr>
            </w:pPr>
            <w:r>
              <w:rPr>
                <w:rFonts w:ascii="Arial" w:cs="Arial" w:eastAsia="Arial" w:hAnsi="Arial"/>
                <w:sz w:val="12"/>
                <w:szCs w:val="12"/>
                <w:color w:val="auto"/>
              </w:rPr>
              <w:t>[Labels &amp; Lists, Inc.]</w:t>
            </w:r>
          </w:p>
        </w:tc>
        <w:tc>
          <w:tcPr>
            <w:tcW w:w="0" w:type="dxa"/>
            <w:vAlign w:val="bottom"/>
          </w:tcPr>
          <w:p>
            <w:pPr>
              <w:spacing w:after="0"/>
              <w:rPr>
                <w:sz w:val="1"/>
                <w:szCs w:val="1"/>
                <w:color w:val="auto"/>
              </w:rPr>
            </w:pPr>
          </w:p>
        </w:tc>
      </w:tr>
      <w:tr>
        <w:trPr>
          <w:trHeight w:val="317"/>
        </w:trPr>
        <w:tc>
          <w:tcPr>
            <w:tcW w:w="75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131" w:name="page132"/>
    <w:bookmarkEnd w:id="131"/>
    <w:p>
      <w:pPr>
        <w:ind w:left="880"/>
        <w:spacing w:after="0"/>
        <w:rPr>
          <w:sz w:val="20"/>
          <w:szCs w:val="20"/>
          <w:color w:val="auto"/>
        </w:rPr>
      </w:pPr>
      <w:r>
        <w:rPr>
          <w:rFonts w:ascii="Arial" w:cs="Arial" w:eastAsia="Arial" w:hAnsi="Arial"/>
          <w:sz w:val="21"/>
          <w:szCs w:val="21"/>
          <w:color w:val="auto"/>
        </w:rPr>
        <w:t>IN WITNESS WHEREOF, the parties have executed this First Amendment as of the date first written above.</w:t>
      </w:r>
    </w:p>
    <w:p>
      <w:pPr>
        <w:spacing w:after="0" w:line="207" w:lineRule="exact"/>
        <w:rPr>
          <w:sz w:val="20"/>
          <w:szCs w:val="20"/>
          <w:color w:val="auto"/>
        </w:rPr>
      </w:pPr>
    </w:p>
    <w:p>
      <w:pPr>
        <w:ind w:left="4600"/>
        <w:spacing w:after="0"/>
        <w:rPr>
          <w:sz w:val="20"/>
          <w:szCs w:val="20"/>
          <w:color w:val="auto"/>
        </w:rPr>
      </w:pPr>
      <w:r>
        <w:rPr>
          <w:rFonts w:ascii="Arial" w:cs="Arial" w:eastAsia="Arial" w:hAnsi="Arial"/>
          <w:sz w:val="21"/>
          <w:szCs w:val="21"/>
          <w:b w:val="1"/>
          <w:bCs w:val="1"/>
          <w:u w:val="single" w:color="auto"/>
          <w:color w:val="auto"/>
        </w:rPr>
        <w:t>LANDLORD</w:t>
      </w:r>
      <w:r>
        <w:rPr>
          <w:rFonts w:ascii="Arial" w:cs="Arial" w:eastAsia="Arial" w:hAnsi="Arial"/>
          <w:sz w:val="21"/>
          <w:szCs w:val="21"/>
          <w:b w:val="1"/>
          <w:bCs w:val="1"/>
          <w:color w:val="auto"/>
        </w:rPr>
        <w:t>:</w:t>
      </w:r>
    </w:p>
    <w:p>
      <w:pPr>
        <w:spacing w:after="0" w:line="219"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NITROGEN PROPCO 2020, L.P.,</w:t>
      </w:r>
    </w:p>
    <w:p>
      <w:pPr>
        <w:spacing w:after="0" w:line="17"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a Delaware limited partnership</w:t>
      </w:r>
    </w:p>
    <w:p>
      <w:pPr>
        <w:spacing w:after="0" w:line="195"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By: NITROGEN DEBT HOLDINGS</w:t>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GENPAR, LLC,</w:t>
      </w:r>
    </w:p>
    <w:p>
      <w:pPr>
        <w:jc w:val="center"/>
        <w:ind w:right="40"/>
        <w:spacing w:after="0"/>
        <w:rPr>
          <w:sz w:val="20"/>
          <w:szCs w:val="20"/>
          <w:color w:val="auto"/>
        </w:rPr>
      </w:pPr>
      <w:r>
        <w:rPr>
          <w:rFonts w:ascii="Arial" w:cs="Arial" w:eastAsia="Arial" w:hAnsi="Arial"/>
          <w:sz w:val="21"/>
          <w:szCs w:val="21"/>
          <w:color w:val="auto"/>
        </w:rPr>
        <w:t>its General Partner</w:t>
      </w:r>
    </w:p>
    <w:p>
      <w:pPr>
        <w:spacing w:after="0" w:line="195"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By: NITROGEN JV 2020, LLC,</w:t>
      </w:r>
    </w:p>
    <w:p>
      <w:pPr>
        <w:spacing w:after="0" w:line="17"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its Sole Member</w:t>
      </w:r>
    </w:p>
    <w:p>
      <w:pPr>
        <w:spacing w:after="0" w:line="195"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By: WTP NORTH CREEK, LLC,</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its Administrative Member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73"/>
              <w:spacing w:after="0"/>
              <w:rPr>
                <w:sz w:val="20"/>
                <w:szCs w:val="20"/>
                <w:color w:val="auto"/>
              </w:rPr>
            </w:pPr>
            <w:r>
              <w:rPr>
                <w:rFonts w:ascii="Arial" w:cs="Arial" w:eastAsia="Arial" w:hAnsi="Arial"/>
                <w:sz w:val="21"/>
                <w:szCs w:val="21"/>
                <w:color w:val="auto"/>
              </w:rPr>
              <w:t>By:</w:t>
            </w:r>
          </w:p>
        </w:tc>
        <w:tc>
          <w:tcPr>
            <w:tcW w:w="5080" w:type="dxa"/>
            <w:vAlign w:val="bottom"/>
            <w:gridSpan w:val="4"/>
          </w:tcPr>
          <w:p>
            <w:pPr>
              <w:spacing w:after="0"/>
              <w:rPr>
                <w:sz w:val="20"/>
                <w:szCs w:val="20"/>
                <w:color w:val="auto"/>
              </w:rPr>
            </w:pPr>
            <w:r>
              <w:rPr>
                <w:rFonts w:ascii="Arial" w:cs="Arial" w:eastAsia="Arial" w:hAnsi="Arial"/>
                <w:sz w:val="21"/>
                <w:szCs w:val="21"/>
                <w:color w:val="auto"/>
              </w:rPr>
              <w:t>/s/ Jeremy Dorsett</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Borders>
              <w:top w:val="single" w:sz="8" w:color="auto"/>
            </w:tcBorders>
            <w:gridSpan w:val="2"/>
          </w:tcPr>
          <w:p>
            <w:pPr>
              <w:spacing w:after="0" w:line="234" w:lineRule="exact"/>
              <w:rPr>
                <w:sz w:val="20"/>
                <w:szCs w:val="20"/>
                <w:color w:val="auto"/>
              </w:rPr>
            </w:pPr>
            <w:r>
              <w:rPr>
                <w:rFonts w:ascii="Arial" w:cs="Arial" w:eastAsia="Arial" w:hAnsi="Arial"/>
                <w:sz w:val="21"/>
                <w:szCs w:val="21"/>
                <w:color w:val="auto"/>
              </w:rPr>
              <w:t>Name:</w:t>
            </w:r>
          </w:p>
        </w:tc>
        <w:tc>
          <w:tcPr>
            <w:tcW w:w="3840" w:type="dxa"/>
            <w:vAlign w:val="bottom"/>
            <w:tcBorders>
              <w:top w:val="single" w:sz="8" w:color="auto"/>
              <w:bottom w:val="single" w:sz="8" w:color="auto"/>
            </w:tcBorders>
          </w:tcPr>
          <w:p>
            <w:pPr>
              <w:spacing w:after="0" w:line="234" w:lineRule="exact"/>
              <w:rPr>
                <w:sz w:val="20"/>
                <w:szCs w:val="20"/>
                <w:color w:val="auto"/>
              </w:rPr>
            </w:pPr>
            <w:r>
              <w:rPr>
                <w:rFonts w:ascii="Arial" w:cs="Arial" w:eastAsia="Arial" w:hAnsi="Arial"/>
                <w:sz w:val="21"/>
                <w:szCs w:val="21"/>
                <w:color w:val="auto"/>
              </w:rPr>
              <w:t>Jeremy Dorsett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gridSpan w:val="2"/>
          </w:tcPr>
          <w:p>
            <w:pPr>
              <w:spacing w:after="0" w:line="234" w:lineRule="exact"/>
              <w:rPr>
                <w:sz w:val="20"/>
                <w:szCs w:val="20"/>
                <w:color w:val="auto"/>
              </w:rPr>
            </w:pPr>
            <w:r>
              <w:rPr>
                <w:rFonts w:ascii="Arial" w:cs="Arial" w:eastAsia="Arial" w:hAnsi="Arial"/>
                <w:sz w:val="21"/>
                <w:szCs w:val="21"/>
                <w:color w:val="auto"/>
              </w:rPr>
              <w:t>Title:</w:t>
            </w:r>
          </w:p>
        </w:tc>
        <w:tc>
          <w:tcPr>
            <w:tcW w:w="3840" w:type="dxa"/>
            <w:vAlign w:val="bottom"/>
            <w:tcBorders>
              <w:bottom w:val="single" w:sz="8" w:color="auto"/>
            </w:tcBorders>
          </w:tcPr>
          <w:p>
            <w:pPr>
              <w:spacing w:after="0" w:line="234" w:lineRule="exact"/>
              <w:rPr>
                <w:sz w:val="20"/>
                <w:szCs w:val="20"/>
                <w:color w:val="auto"/>
              </w:rPr>
            </w:pPr>
            <w:r>
              <w:rPr>
                <w:rFonts w:ascii="Arial" w:cs="Arial" w:eastAsia="Arial" w:hAnsi="Arial"/>
                <w:sz w:val="21"/>
                <w:szCs w:val="21"/>
                <w:color w:val="auto"/>
              </w:rPr>
              <w:t>Vice President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460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21"/>
                <w:szCs w:val="21"/>
                <w:b w:val="1"/>
                <w:bCs w:val="1"/>
                <w:color w:val="auto"/>
              </w:rPr>
              <w:t>TENANT:</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00" w:type="dxa"/>
            <w:vAlign w:val="bottom"/>
          </w:tcPr>
          <w:p>
            <w:pPr>
              <w:spacing w:after="0"/>
              <w:rPr>
                <w:sz w:val="24"/>
                <w:szCs w:val="24"/>
                <w:color w:val="auto"/>
              </w:rPr>
            </w:pPr>
          </w:p>
        </w:tc>
        <w:tc>
          <w:tcPr>
            <w:tcW w:w="2460" w:type="dxa"/>
            <w:vAlign w:val="bottom"/>
            <w:gridSpan w:val="5"/>
          </w:tcPr>
          <w:p>
            <w:pPr>
              <w:spacing w:after="0"/>
              <w:rPr>
                <w:sz w:val="20"/>
                <w:szCs w:val="20"/>
                <w:color w:val="auto"/>
              </w:rPr>
            </w:pPr>
            <w:r>
              <w:rPr>
                <w:rFonts w:ascii="Arial" w:cs="Arial" w:eastAsia="Arial" w:hAnsi="Arial"/>
                <w:sz w:val="21"/>
                <w:szCs w:val="21"/>
                <w:color w:val="auto"/>
              </w:rPr>
              <w:t>ATHIRA PHARMA, INC.,</w:t>
            </w: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600" w:type="dxa"/>
            <w:vAlign w:val="bottom"/>
          </w:tcPr>
          <w:p>
            <w:pPr>
              <w:spacing w:after="0"/>
              <w:rPr>
                <w:sz w:val="23"/>
                <w:szCs w:val="23"/>
                <w:color w:val="auto"/>
              </w:rPr>
            </w:pPr>
          </w:p>
        </w:tc>
        <w:tc>
          <w:tcPr>
            <w:tcW w:w="2460" w:type="dxa"/>
            <w:vAlign w:val="bottom"/>
            <w:gridSpan w:val="5"/>
          </w:tcPr>
          <w:p>
            <w:pPr>
              <w:spacing w:after="0"/>
              <w:rPr>
                <w:sz w:val="20"/>
                <w:szCs w:val="20"/>
                <w:color w:val="auto"/>
              </w:rPr>
            </w:pPr>
            <w:r>
              <w:rPr>
                <w:rFonts w:ascii="Arial" w:cs="Arial" w:eastAsia="Arial" w:hAnsi="Arial"/>
                <w:sz w:val="21"/>
                <w:szCs w:val="21"/>
                <w:color w:val="auto"/>
              </w:rPr>
              <w:t>a Delaware corporation</w:t>
            </w:r>
          </w:p>
        </w:tc>
        <w:tc>
          <w:tcPr>
            <w:tcW w:w="3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4"/>
        </w:trPr>
        <w:tc>
          <w:tcPr>
            <w:tcW w:w="4600" w:type="dxa"/>
            <w:vAlign w:val="bottom"/>
          </w:tcPr>
          <w:p>
            <w:pPr>
              <w:spacing w:after="0"/>
              <w:rPr>
                <w:sz w:val="24"/>
                <w:szCs w:val="24"/>
                <w:color w:val="auto"/>
              </w:rPr>
            </w:pPr>
          </w:p>
        </w:tc>
        <w:tc>
          <w:tcPr>
            <w:tcW w:w="2460" w:type="dxa"/>
            <w:vAlign w:val="bottom"/>
            <w:gridSpan w:val="5"/>
          </w:tcPr>
          <w:p>
            <w:pPr>
              <w:ind w:left="220"/>
              <w:spacing w:after="0"/>
              <w:rPr>
                <w:sz w:val="20"/>
                <w:szCs w:val="20"/>
                <w:color w:val="auto"/>
              </w:rPr>
            </w:pPr>
            <w:r>
              <w:rPr>
                <w:rFonts w:ascii="Arial" w:cs="Arial" w:eastAsia="Arial" w:hAnsi="Arial"/>
                <w:sz w:val="21"/>
                <w:szCs w:val="21"/>
                <w:color w:val="auto"/>
              </w:rPr>
              <w:t>By:  /s/ Glenna Mileson</w:t>
            </w: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Borders>
              <w:top w:val="single" w:sz="8" w:color="auto"/>
            </w:tcBorders>
            <w:gridSpan w:val="2"/>
          </w:tcPr>
          <w:p>
            <w:pPr>
              <w:spacing w:after="0" w:line="234" w:lineRule="exact"/>
              <w:rPr>
                <w:sz w:val="20"/>
                <w:szCs w:val="20"/>
                <w:color w:val="auto"/>
              </w:rPr>
            </w:pPr>
            <w:r>
              <w:rPr>
                <w:rFonts w:ascii="Arial" w:cs="Arial" w:eastAsia="Arial" w:hAnsi="Arial"/>
                <w:sz w:val="21"/>
                <w:szCs w:val="21"/>
                <w:color w:val="auto"/>
              </w:rPr>
              <w:t>Name:</w:t>
            </w:r>
          </w:p>
        </w:tc>
        <w:tc>
          <w:tcPr>
            <w:tcW w:w="80" w:type="dxa"/>
            <w:vAlign w:val="bottom"/>
            <w:tcBorders>
              <w:top w:val="single" w:sz="8" w:color="auto"/>
            </w:tcBorders>
          </w:tcPr>
          <w:p>
            <w:pPr>
              <w:spacing w:after="0"/>
              <w:rPr>
                <w:sz w:val="20"/>
                <w:szCs w:val="20"/>
                <w:color w:val="auto"/>
              </w:rPr>
            </w:pPr>
          </w:p>
        </w:tc>
        <w:tc>
          <w:tcPr>
            <w:tcW w:w="4640" w:type="dxa"/>
            <w:vAlign w:val="bottom"/>
            <w:tcBorders>
              <w:top w:val="single" w:sz="8" w:color="auto"/>
              <w:bottom w:val="single" w:sz="8" w:color="auto"/>
            </w:tcBorders>
            <w:gridSpan w:val="2"/>
          </w:tcPr>
          <w:p>
            <w:pPr>
              <w:spacing w:after="0" w:line="234" w:lineRule="exact"/>
              <w:rPr>
                <w:sz w:val="20"/>
                <w:szCs w:val="20"/>
                <w:color w:val="auto"/>
              </w:rPr>
            </w:pPr>
            <w:r>
              <w:rPr>
                <w:rFonts w:ascii="Arial" w:cs="Arial" w:eastAsia="Arial" w:hAnsi="Arial"/>
                <w:sz w:val="21"/>
                <w:szCs w:val="21"/>
                <w:color w:val="auto"/>
              </w:rPr>
              <w:t>Glenna Mileson</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gridSpan w:val="2"/>
          </w:tcPr>
          <w:p>
            <w:pPr>
              <w:spacing w:after="0" w:line="234" w:lineRule="exact"/>
              <w:rPr>
                <w:sz w:val="20"/>
                <w:szCs w:val="20"/>
                <w:color w:val="auto"/>
              </w:rPr>
            </w:pPr>
            <w:r>
              <w:rPr>
                <w:rFonts w:ascii="Arial" w:cs="Arial" w:eastAsia="Arial" w:hAnsi="Arial"/>
                <w:sz w:val="21"/>
                <w:szCs w:val="21"/>
                <w:color w:val="auto"/>
              </w:rPr>
              <w:t>Title:</w:t>
            </w:r>
          </w:p>
        </w:tc>
        <w:tc>
          <w:tcPr>
            <w:tcW w:w="80" w:type="dxa"/>
            <w:vAlign w:val="bottom"/>
          </w:tcPr>
          <w:p>
            <w:pPr>
              <w:spacing w:after="0"/>
              <w:rPr>
                <w:sz w:val="20"/>
                <w:szCs w:val="20"/>
                <w:color w:val="auto"/>
              </w:rPr>
            </w:pPr>
          </w:p>
        </w:tc>
        <w:tc>
          <w:tcPr>
            <w:tcW w:w="4640" w:type="dxa"/>
            <w:vAlign w:val="bottom"/>
            <w:tcBorders>
              <w:bottom w:val="single" w:sz="8" w:color="auto"/>
            </w:tcBorders>
            <w:gridSpan w:val="2"/>
          </w:tcPr>
          <w:p>
            <w:pPr>
              <w:spacing w:after="0" w:line="234" w:lineRule="exact"/>
              <w:rPr>
                <w:sz w:val="20"/>
                <w:szCs w:val="20"/>
                <w:color w:val="auto"/>
              </w:rPr>
            </w:pPr>
            <w:r>
              <w:rPr>
                <w:rFonts w:ascii="Arial" w:cs="Arial" w:eastAsia="Arial" w:hAnsi="Arial"/>
                <w:sz w:val="21"/>
                <w:szCs w:val="21"/>
                <w:color w:val="auto"/>
              </w:rPr>
              <w:t>Chief Financial Officer</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1"/>
        </w:trPr>
        <w:tc>
          <w:tcPr>
            <w:tcW w:w="6180" w:type="dxa"/>
            <w:vAlign w:val="bottom"/>
            <w:gridSpan w:val="4"/>
            <w:vMerge w:val="restart"/>
          </w:tcPr>
          <w:p>
            <w:pPr>
              <w:jc w:val="right"/>
              <w:ind w:right="313"/>
              <w:spacing w:after="0"/>
              <w:rPr>
                <w:sz w:val="20"/>
                <w:szCs w:val="20"/>
                <w:color w:val="auto"/>
              </w:rPr>
            </w:pPr>
            <w:r>
              <w:rPr>
                <w:rFonts w:ascii="Arial" w:cs="Arial" w:eastAsia="Arial" w:hAnsi="Arial"/>
                <w:sz w:val="21"/>
                <w:szCs w:val="21"/>
                <w:color w:val="auto"/>
              </w:rPr>
              <w:t>-3-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0" w:type="dxa"/>
            <w:vAlign w:val="bottom"/>
            <w:gridSpan w:val="2"/>
          </w:tcPr>
          <w:p>
            <w:pPr>
              <w:jc w:val="right"/>
              <w:ind w:right="20"/>
              <w:spacing w:after="0"/>
              <w:rPr>
                <w:sz w:val="20"/>
                <w:szCs w:val="20"/>
                <w:color w:val="auto"/>
              </w:rPr>
            </w:pPr>
            <w:r>
              <w:rPr>
                <w:rFonts w:ascii="Arial" w:cs="Arial" w:eastAsia="Arial" w:hAnsi="Arial"/>
                <w:sz w:val="12"/>
                <w:szCs w:val="12"/>
                <w:color w:val="auto"/>
              </w:rPr>
              <w:t>NORTH CREEK PARKWAY CENTER</w:t>
            </w:r>
          </w:p>
        </w:tc>
        <w:tc>
          <w:tcPr>
            <w:tcW w:w="0" w:type="dxa"/>
            <w:vAlign w:val="bottom"/>
          </w:tcPr>
          <w:p>
            <w:pPr>
              <w:spacing w:after="0"/>
              <w:rPr>
                <w:sz w:val="1"/>
                <w:szCs w:val="1"/>
                <w:color w:val="auto"/>
              </w:rPr>
            </w:pPr>
          </w:p>
        </w:tc>
      </w:tr>
      <w:tr>
        <w:trPr>
          <w:trHeight w:val="158"/>
        </w:trPr>
        <w:tc>
          <w:tcPr>
            <w:tcW w:w="61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0" w:type="dxa"/>
            <w:vAlign w:val="bottom"/>
            <w:gridSpan w:val="2"/>
          </w:tcPr>
          <w:p>
            <w:pPr>
              <w:jc w:val="right"/>
              <w:ind w:right="20"/>
              <w:spacing w:after="0"/>
              <w:rPr>
                <w:sz w:val="20"/>
                <w:szCs w:val="20"/>
                <w:color w:val="auto"/>
              </w:rPr>
            </w:pPr>
            <w:r>
              <w:rPr>
                <w:rFonts w:ascii="Arial" w:cs="Arial" w:eastAsia="Arial" w:hAnsi="Arial"/>
                <w:sz w:val="12"/>
                <w:szCs w:val="12"/>
                <w:color w:val="auto"/>
              </w:rPr>
              <w:t>[Labels &amp; Lists, Inc.]</w:t>
            </w:r>
          </w:p>
        </w:tc>
        <w:tc>
          <w:tcPr>
            <w:tcW w:w="0" w:type="dxa"/>
            <w:vAlign w:val="bottom"/>
          </w:tcPr>
          <w:p>
            <w:pPr>
              <w:spacing w:after="0"/>
              <w:rPr>
                <w:sz w:val="1"/>
                <w:szCs w:val="1"/>
                <w:color w:val="auto"/>
              </w:rPr>
            </w:pPr>
          </w:p>
        </w:tc>
      </w:tr>
      <w:tr>
        <w:trPr>
          <w:trHeight w:val="317"/>
        </w:trPr>
        <w:tc>
          <w:tcPr>
            <w:tcW w:w="46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760" w:right="3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41"/>
        </w:trPr>
        <w:tc>
          <w:tcPr>
            <w:tcW w:w="30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rPr>
              <w:t>LANDLORD ACKNOWLEDGMENT</w:t>
            </w:r>
          </w:p>
        </w:tc>
      </w:tr>
      <w:tr>
        <w:trPr>
          <w:trHeight w:val="667"/>
        </w:trPr>
        <w:tc>
          <w:tcPr>
            <w:tcW w:w="3020" w:type="dxa"/>
            <w:vAlign w:val="bottom"/>
          </w:tcPr>
          <w:p>
            <w:pPr>
              <w:spacing w:after="0"/>
              <w:rPr>
                <w:sz w:val="20"/>
                <w:szCs w:val="20"/>
                <w:color w:val="auto"/>
              </w:rPr>
            </w:pPr>
            <w:r>
              <w:rPr>
                <w:rFonts w:ascii="Arial" w:cs="Arial" w:eastAsia="Arial" w:hAnsi="Arial"/>
                <w:sz w:val="21"/>
                <w:szCs w:val="21"/>
                <w:color w:val="auto"/>
              </w:rPr>
              <w:t>STATE OF WASHINGTON</w:t>
            </w:r>
          </w:p>
        </w:tc>
        <w:tc>
          <w:tcPr>
            <w:tcW w:w="840" w:type="dxa"/>
            <w:vAlign w:val="bottom"/>
          </w:tcPr>
          <w:p>
            <w:pPr>
              <w:ind w:left="600"/>
              <w:spacing w:after="0"/>
              <w:rPr>
                <w:sz w:val="20"/>
                <w:szCs w:val="20"/>
                <w:color w:val="auto"/>
              </w:rPr>
            </w:pPr>
            <w:r>
              <w:rPr>
                <w:rFonts w:ascii="Arial" w:cs="Arial" w:eastAsia="Arial" w:hAnsi="Arial"/>
                <w:sz w:val="21"/>
                <w:szCs w:val="21"/>
                <w:color w:val="auto"/>
              </w:rPr>
              <w:t>)</w:t>
            </w:r>
          </w:p>
        </w:tc>
        <w:tc>
          <w:tcPr>
            <w:tcW w:w="3540" w:type="dxa"/>
            <w:vAlign w:val="bottom"/>
          </w:tcPr>
          <w:p>
            <w:pPr>
              <w:spacing w:after="0"/>
              <w:rPr>
                <w:sz w:val="24"/>
                <w:szCs w:val="24"/>
                <w:color w:val="auto"/>
              </w:rPr>
            </w:pPr>
          </w:p>
        </w:tc>
      </w:tr>
      <w:tr>
        <w:trPr>
          <w:trHeight w:val="241"/>
        </w:trPr>
        <w:tc>
          <w:tcPr>
            <w:tcW w:w="3020" w:type="dxa"/>
            <w:vAlign w:val="bottom"/>
          </w:tcPr>
          <w:p>
            <w:pPr>
              <w:spacing w:after="0"/>
              <w:rPr>
                <w:sz w:val="20"/>
                <w:szCs w:val="20"/>
                <w:color w:val="auto"/>
              </w:rPr>
            </w:pPr>
          </w:p>
        </w:tc>
        <w:tc>
          <w:tcPr>
            <w:tcW w:w="4380" w:type="dxa"/>
            <w:vAlign w:val="bottom"/>
            <w:gridSpan w:val="2"/>
          </w:tcPr>
          <w:p>
            <w:pPr>
              <w:ind w:left="600"/>
              <w:spacing w:after="0"/>
              <w:rPr>
                <w:sz w:val="20"/>
                <w:szCs w:val="20"/>
                <w:color w:val="auto"/>
              </w:rPr>
            </w:pPr>
            <w:r>
              <w:rPr>
                <w:rFonts w:ascii="Arial" w:cs="Arial" w:eastAsia="Arial" w:hAnsi="Arial"/>
                <w:sz w:val="21"/>
                <w:szCs w:val="21"/>
                <w:color w:val="auto"/>
              </w:rPr>
              <w:t>)  ss.</w:t>
            </w:r>
          </w:p>
        </w:tc>
      </w:tr>
      <w:tr>
        <w:trPr>
          <w:trHeight w:val="273"/>
        </w:trPr>
        <w:tc>
          <w:tcPr>
            <w:tcW w:w="3020" w:type="dxa"/>
            <w:vAlign w:val="bottom"/>
          </w:tcPr>
          <w:p>
            <w:pPr>
              <w:spacing w:after="0"/>
              <w:rPr>
                <w:sz w:val="20"/>
                <w:szCs w:val="20"/>
                <w:color w:val="auto"/>
              </w:rPr>
            </w:pPr>
            <w:r>
              <w:rPr>
                <w:rFonts w:ascii="Arial" w:cs="Arial" w:eastAsia="Arial" w:hAnsi="Arial"/>
                <w:sz w:val="21"/>
                <w:szCs w:val="21"/>
                <w:color w:val="auto"/>
              </w:rPr>
              <w:t>COUNTY OF KING</w:t>
            </w:r>
          </w:p>
        </w:tc>
        <w:tc>
          <w:tcPr>
            <w:tcW w:w="840" w:type="dxa"/>
            <w:vAlign w:val="bottom"/>
          </w:tcPr>
          <w:p>
            <w:pPr>
              <w:ind w:left="600"/>
              <w:spacing w:after="0"/>
              <w:rPr>
                <w:sz w:val="20"/>
                <w:szCs w:val="20"/>
                <w:color w:val="auto"/>
              </w:rPr>
            </w:pPr>
            <w:r>
              <w:rPr>
                <w:rFonts w:ascii="Arial" w:cs="Arial" w:eastAsia="Arial" w:hAnsi="Arial"/>
                <w:sz w:val="21"/>
                <w:szCs w:val="21"/>
                <w:color w:val="auto"/>
              </w:rPr>
              <w:t>)</w:t>
            </w:r>
          </w:p>
        </w:tc>
        <w:tc>
          <w:tcPr>
            <w:tcW w:w="3540" w:type="dxa"/>
            <w:vAlign w:val="bottom"/>
          </w:tcPr>
          <w:p>
            <w:pPr>
              <w:spacing w:after="0"/>
              <w:rPr>
                <w:sz w:val="23"/>
                <w:szCs w:val="23"/>
                <w:color w:val="auto"/>
              </w:rPr>
            </w:pPr>
          </w:p>
        </w:tc>
      </w:tr>
    </w:tbl>
    <w:p>
      <w:pPr>
        <w:spacing w:after="0" w:line="396" w:lineRule="exact"/>
        <w:rPr>
          <w:sz w:val="20"/>
          <w:szCs w:val="20"/>
          <w:color w:val="auto"/>
        </w:rPr>
      </w:pPr>
    </w:p>
    <w:p>
      <w:pPr>
        <w:jc w:val="both"/>
        <w:ind w:right="20" w:firstLine="864"/>
        <w:spacing w:after="0" w:line="270" w:lineRule="auto"/>
        <w:rPr>
          <w:sz w:val="20"/>
          <w:szCs w:val="20"/>
          <w:color w:val="auto"/>
        </w:rPr>
      </w:pPr>
      <w:r>
        <w:rPr>
          <w:rFonts w:ascii="Arial" w:cs="Arial" w:eastAsia="Arial" w:hAnsi="Arial"/>
          <w:sz w:val="21"/>
          <w:szCs w:val="21"/>
          <w:color w:val="auto"/>
        </w:rPr>
        <w:t>I certify that I know or have satisfactory evidence that the person appearing before me and making this acknowledgment is the person whose true signature appears on this document.</w:t>
      </w:r>
    </w:p>
    <w:p>
      <w:pPr>
        <w:spacing w:after="0" w:line="152" w:lineRule="exact"/>
        <w:rPr>
          <w:sz w:val="20"/>
          <w:szCs w:val="20"/>
          <w:color w:val="auto"/>
        </w:rPr>
      </w:pPr>
    </w:p>
    <w:p>
      <w:pPr>
        <w:jc w:val="both"/>
        <w:ind w:right="20" w:firstLine="864"/>
        <w:spacing w:after="0" w:line="246" w:lineRule="auto"/>
        <w:rPr>
          <w:sz w:val="20"/>
          <w:szCs w:val="20"/>
          <w:color w:val="auto"/>
        </w:rPr>
      </w:pPr>
      <w:r>
        <w:rPr>
          <w:rFonts w:ascii="Arial" w:cs="Arial" w:eastAsia="Arial" w:hAnsi="Arial"/>
          <w:sz w:val="21"/>
          <w:szCs w:val="21"/>
          <w:color w:val="auto"/>
        </w:rPr>
        <w:t>On this 28 day of June, 2021, before me personally appeared Jeremy Dorsett, to me known to be the Vice President of WTP NORTH CREEK, LLC, a Delaware limited liability company, the limited liability company that executed the within and foregoing instrument, and acknowledged the said instrument to be the free and voluntary act and deed of said limited liability company, for the uses and purposes therein mentioned, and on oath stated that he/she was authorized to execute said instrument on behalf of said limited liability company.</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WITNESS my hand and official seal hereto affixed the day and year first above written.</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/s/ Lauren Kingston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13335</wp:posOffset>
            </wp:positionV>
            <wp:extent cx="35667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Notary Public in and for the State of Washington, residing at</w:t>
      </w:r>
    </w:p>
    <w:p>
      <w:pPr>
        <w:ind w:left="5620"/>
        <w:spacing w:after="0"/>
        <w:rPr>
          <w:sz w:val="20"/>
          <w:szCs w:val="20"/>
          <w:color w:val="auto"/>
        </w:rPr>
      </w:pPr>
      <w:r>
        <w:rPr>
          <w:rFonts w:ascii="Arial" w:cs="Arial" w:eastAsia="Arial" w:hAnsi="Arial"/>
          <w:sz w:val="21"/>
          <w:szCs w:val="21"/>
          <w:color w:val="auto"/>
        </w:rPr>
        <w:t>Seattle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-22860</wp:posOffset>
            </wp:positionV>
            <wp:extent cx="9810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1"/>
          <w:szCs w:val="21"/>
          <w:color w:val="auto"/>
        </w:rPr>
        <w:t>My commission expires 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-22860</wp:posOffset>
            </wp:positionV>
            <wp:extent cx="12192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500" w:type="dxa"/>
            <w:vAlign w:val="bottom"/>
            <w:vMerge w:val="restart"/>
          </w:tcPr>
          <w:p>
            <w:pPr>
              <w:jc w:val="right"/>
              <w:ind w:right="1633"/>
              <w:spacing w:after="0"/>
              <w:rPr>
                <w:sz w:val="20"/>
                <w:szCs w:val="20"/>
                <w:color w:val="auto"/>
              </w:rPr>
            </w:pPr>
            <w:r>
              <w:rPr>
                <w:rFonts w:ascii="Arial" w:cs="Arial" w:eastAsia="Arial" w:hAnsi="Arial"/>
                <w:sz w:val="21"/>
                <w:szCs w:val="21"/>
                <w:color w:val="auto"/>
              </w:rPr>
              <w:t>-4-</w:t>
            </w:r>
          </w:p>
        </w:tc>
        <w:tc>
          <w:tcPr>
            <w:tcW w:w="3760" w:type="dxa"/>
            <w:vAlign w:val="bottom"/>
          </w:tcPr>
          <w:p>
            <w:pPr>
              <w:jc w:val="right"/>
              <w:spacing w:after="0"/>
              <w:rPr>
                <w:sz w:val="20"/>
                <w:szCs w:val="20"/>
                <w:color w:val="auto"/>
              </w:rPr>
            </w:pPr>
            <w:r>
              <w:rPr>
                <w:rFonts w:ascii="Arial" w:cs="Arial" w:eastAsia="Arial" w:hAnsi="Arial"/>
                <w:sz w:val="12"/>
                <w:szCs w:val="12"/>
                <w:color w:val="auto"/>
              </w:rPr>
              <w:t>NORTH CREEK PARKWAY CENTER</w:t>
            </w:r>
          </w:p>
        </w:tc>
        <w:tc>
          <w:tcPr>
            <w:tcW w:w="0" w:type="dxa"/>
            <w:vAlign w:val="bottom"/>
          </w:tcPr>
          <w:p>
            <w:pPr>
              <w:spacing w:after="0"/>
              <w:rPr>
                <w:sz w:val="1"/>
                <w:szCs w:val="1"/>
                <w:color w:val="auto"/>
              </w:rPr>
            </w:pPr>
          </w:p>
        </w:tc>
      </w:tr>
      <w:tr>
        <w:trPr>
          <w:trHeight w:val="158"/>
        </w:trPr>
        <w:tc>
          <w:tcPr>
            <w:tcW w:w="7500" w:type="dxa"/>
            <w:vAlign w:val="bottom"/>
            <w:vMerge w:val="continue"/>
          </w:tcPr>
          <w:p>
            <w:pPr>
              <w:spacing w:after="0"/>
              <w:rPr>
                <w:sz w:val="13"/>
                <w:szCs w:val="13"/>
                <w:color w:val="auto"/>
              </w:rPr>
            </w:pPr>
          </w:p>
        </w:tc>
        <w:tc>
          <w:tcPr>
            <w:tcW w:w="3760" w:type="dxa"/>
            <w:vAlign w:val="bottom"/>
          </w:tcPr>
          <w:p>
            <w:pPr>
              <w:jc w:val="right"/>
              <w:spacing w:after="0"/>
              <w:rPr>
                <w:sz w:val="20"/>
                <w:szCs w:val="20"/>
                <w:color w:val="auto"/>
              </w:rPr>
            </w:pPr>
            <w:r>
              <w:rPr>
                <w:rFonts w:ascii="Arial" w:cs="Arial" w:eastAsia="Arial" w:hAnsi="Arial"/>
                <w:sz w:val="12"/>
                <w:szCs w:val="12"/>
                <w:color w:val="auto"/>
              </w:rPr>
              <w:t>[Labels &amp; Lists, Inc.]</w:t>
            </w:r>
          </w:p>
        </w:tc>
        <w:tc>
          <w:tcPr>
            <w:tcW w:w="0" w:type="dxa"/>
            <w:vAlign w:val="bottom"/>
          </w:tcPr>
          <w:p>
            <w:pPr>
              <w:spacing w:after="0"/>
              <w:rPr>
                <w:sz w:val="1"/>
                <w:szCs w:val="1"/>
                <w:color w:val="auto"/>
              </w:rPr>
            </w:pPr>
          </w:p>
        </w:tc>
      </w:tr>
      <w:tr>
        <w:trPr>
          <w:trHeight w:val="317"/>
        </w:trPr>
        <w:tc>
          <w:tcPr>
            <w:tcW w:w="75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526" w:right="3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41"/>
        </w:trPr>
        <w:tc>
          <w:tcPr>
            <w:tcW w:w="3020" w:type="dxa"/>
            <w:vAlign w:val="bottom"/>
          </w:tcPr>
          <w:p>
            <w:pPr>
              <w:spacing w:after="0"/>
              <w:rPr>
                <w:sz w:val="21"/>
                <w:szCs w:val="21"/>
                <w:color w:val="auto"/>
              </w:rPr>
            </w:pPr>
          </w:p>
        </w:tc>
        <w:tc>
          <w:tcPr>
            <w:tcW w:w="4200" w:type="dxa"/>
            <w:vAlign w:val="bottom"/>
            <w:gridSpan w:val="2"/>
          </w:tcPr>
          <w:p>
            <w:pPr>
              <w:ind w:left="1000"/>
              <w:spacing w:after="0"/>
              <w:rPr>
                <w:sz w:val="20"/>
                <w:szCs w:val="20"/>
                <w:color w:val="auto"/>
              </w:rPr>
            </w:pPr>
            <w:r>
              <w:rPr>
                <w:rFonts w:ascii="Arial" w:cs="Arial" w:eastAsia="Arial" w:hAnsi="Arial"/>
                <w:sz w:val="21"/>
                <w:szCs w:val="21"/>
                <w:b w:val="1"/>
                <w:bCs w:val="1"/>
                <w:color w:val="auto"/>
              </w:rPr>
              <w:t>TENANT ACKNOWLEDGMENT</w:t>
            </w:r>
          </w:p>
        </w:tc>
      </w:tr>
      <w:tr>
        <w:trPr>
          <w:trHeight w:val="453"/>
        </w:trPr>
        <w:tc>
          <w:tcPr>
            <w:tcW w:w="3020" w:type="dxa"/>
            <w:vAlign w:val="bottom"/>
          </w:tcPr>
          <w:p>
            <w:pPr>
              <w:spacing w:after="0"/>
              <w:rPr>
                <w:sz w:val="20"/>
                <w:szCs w:val="20"/>
                <w:color w:val="auto"/>
              </w:rPr>
            </w:pPr>
            <w:r>
              <w:rPr>
                <w:rFonts w:ascii="Arial" w:cs="Arial" w:eastAsia="Arial" w:hAnsi="Arial"/>
                <w:sz w:val="21"/>
                <w:szCs w:val="21"/>
                <w:color w:val="auto"/>
              </w:rPr>
              <w:t>STATE OF WASHINGTON</w:t>
            </w:r>
          </w:p>
        </w:tc>
        <w:tc>
          <w:tcPr>
            <w:tcW w:w="1000" w:type="dxa"/>
            <w:vAlign w:val="bottom"/>
          </w:tcPr>
          <w:p>
            <w:pPr>
              <w:ind w:left="600"/>
              <w:spacing w:after="0"/>
              <w:rPr>
                <w:sz w:val="20"/>
                <w:szCs w:val="20"/>
                <w:color w:val="auto"/>
              </w:rPr>
            </w:pPr>
            <w:r>
              <w:rPr>
                <w:rFonts w:ascii="Arial" w:cs="Arial" w:eastAsia="Arial" w:hAnsi="Arial"/>
                <w:sz w:val="21"/>
                <w:szCs w:val="21"/>
                <w:color w:val="auto"/>
              </w:rPr>
              <w:t>)</w:t>
            </w:r>
          </w:p>
        </w:tc>
        <w:tc>
          <w:tcPr>
            <w:tcW w:w="3200" w:type="dxa"/>
            <w:vAlign w:val="bottom"/>
            <w:tcBorders>
              <w:top w:val="single" w:sz="8" w:color="auto"/>
            </w:tcBorders>
          </w:tcPr>
          <w:p>
            <w:pPr>
              <w:spacing w:after="0"/>
              <w:rPr>
                <w:sz w:val="24"/>
                <w:szCs w:val="24"/>
                <w:color w:val="auto"/>
              </w:rPr>
            </w:pPr>
          </w:p>
        </w:tc>
      </w:tr>
      <w:tr>
        <w:trPr>
          <w:trHeight w:val="241"/>
        </w:trPr>
        <w:tc>
          <w:tcPr>
            <w:tcW w:w="3020" w:type="dxa"/>
            <w:vAlign w:val="bottom"/>
          </w:tcPr>
          <w:p>
            <w:pPr>
              <w:spacing w:after="0"/>
              <w:rPr>
                <w:sz w:val="20"/>
                <w:szCs w:val="20"/>
                <w:color w:val="auto"/>
              </w:rPr>
            </w:pPr>
          </w:p>
        </w:tc>
        <w:tc>
          <w:tcPr>
            <w:tcW w:w="4200" w:type="dxa"/>
            <w:vAlign w:val="bottom"/>
            <w:gridSpan w:val="2"/>
          </w:tcPr>
          <w:p>
            <w:pPr>
              <w:ind w:left="600"/>
              <w:spacing w:after="0"/>
              <w:rPr>
                <w:sz w:val="20"/>
                <w:szCs w:val="20"/>
                <w:color w:val="auto"/>
              </w:rPr>
            </w:pPr>
            <w:r>
              <w:rPr>
                <w:rFonts w:ascii="Arial" w:cs="Arial" w:eastAsia="Arial" w:hAnsi="Arial"/>
                <w:sz w:val="21"/>
                <w:szCs w:val="21"/>
                <w:color w:val="auto"/>
              </w:rPr>
              <w:t>)  ss.</w:t>
            </w:r>
          </w:p>
        </w:tc>
      </w:tr>
      <w:tr>
        <w:trPr>
          <w:trHeight w:val="273"/>
        </w:trPr>
        <w:tc>
          <w:tcPr>
            <w:tcW w:w="3020" w:type="dxa"/>
            <w:vAlign w:val="bottom"/>
          </w:tcPr>
          <w:p>
            <w:pPr>
              <w:spacing w:after="0"/>
              <w:rPr>
                <w:sz w:val="20"/>
                <w:szCs w:val="20"/>
                <w:color w:val="auto"/>
              </w:rPr>
            </w:pPr>
            <w:r>
              <w:rPr>
                <w:rFonts w:ascii="Arial" w:cs="Arial" w:eastAsia="Arial" w:hAnsi="Arial"/>
                <w:sz w:val="21"/>
                <w:szCs w:val="21"/>
                <w:color w:val="auto"/>
              </w:rPr>
              <w:t>COUNTY OF KING</w:t>
            </w:r>
          </w:p>
        </w:tc>
        <w:tc>
          <w:tcPr>
            <w:tcW w:w="1000" w:type="dxa"/>
            <w:vAlign w:val="bottom"/>
          </w:tcPr>
          <w:p>
            <w:pPr>
              <w:ind w:left="600"/>
              <w:spacing w:after="0"/>
              <w:rPr>
                <w:sz w:val="20"/>
                <w:szCs w:val="20"/>
                <w:color w:val="auto"/>
              </w:rPr>
            </w:pPr>
            <w:r>
              <w:rPr>
                <w:rFonts w:ascii="Arial" w:cs="Arial" w:eastAsia="Arial" w:hAnsi="Arial"/>
                <w:sz w:val="21"/>
                <w:szCs w:val="21"/>
                <w:color w:val="auto"/>
              </w:rPr>
              <w:t>)</w:t>
            </w:r>
          </w:p>
        </w:tc>
        <w:tc>
          <w:tcPr>
            <w:tcW w:w="3200" w:type="dxa"/>
            <w:vAlign w:val="bottom"/>
          </w:tcPr>
          <w:p>
            <w:pPr>
              <w:spacing w:after="0"/>
              <w:rPr>
                <w:sz w:val="23"/>
                <w:szCs w:val="23"/>
                <w:color w:val="auto"/>
              </w:rPr>
            </w:pPr>
          </w:p>
        </w:tc>
      </w:tr>
    </w:tbl>
    <w:p>
      <w:pPr>
        <w:spacing w:after="0" w:line="396"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21"/>
          <w:szCs w:val="21"/>
          <w:color w:val="auto"/>
        </w:rPr>
        <w:t>I certify that I know or have satisfactory evidence that the person appearing before me and making this acknowledgment is the person whose true signature appears on this document.</w:t>
      </w:r>
    </w:p>
    <w:p>
      <w:pPr>
        <w:spacing w:after="0" w:line="15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On this 23 day of June, 2021, before me personally appeared Glenna Mileson, to me known to be the Chief Financial Officer of ATHIRA PHARMA, INC., a Delaware corporation, the corporation that executed the within and foregoing instrument, and acknowledged the said instrument to be the free and voluntary act and deed of said limited liability company, for the uses and purposes therein mentioned, and on oath stated that he/she was authorized to execute said instrument on behalf of said limited liability company.</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WITNESS my hand and official seal hereto affixed the day and year first above written.</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/s/ Deanna Guffey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13335</wp:posOffset>
            </wp:positionV>
            <wp:extent cx="35667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Notary Public in and for the State of Washington, residing at</w:t>
      </w:r>
    </w:p>
    <w:p>
      <w:pPr>
        <w:ind w:left="5620"/>
        <w:spacing w:after="0"/>
        <w:rPr>
          <w:sz w:val="20"/>
          <w:szCs w:val="20"/>
          <w:color w:val="auto"/>
        </w:rPr>
      </w:pPr>
      <w:r>
        <w:rPr>
          <w:rFonts w:ascii="Arial" w:cs="Arial" w:eastAsia="Arial" w:hAnsi="Arial"/>
          <w:sz w:val="21"/>
          <w:szCs w:val="21"/>
          <w:color w:val="auto"/>
        </w:rPr>
        <w:t>Seattle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-22860</wp:posOffset>
            </wp:positionV>
            <wp:extent cx="9810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1"/>
          <w:szCs w:val="21"/>
          <w:color w:val="auto"/>
        </w:rPr>
        <w:t>My commission expires November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-22860</wp:posOffset>
            </wp:positionV>
            <wp:extent cx="14230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2" w:lineRule="exact"/>
        <w:rPr>
          <w:sz w:val="20"/>
          <w:szCs w:val="20"/>
          <w:color w:val="auto"/>
        </w:rPr>
      </w:pPr>
    </w:p>
    <w:tbl>
      <w:tblPr>
        <w:tblLayout w:type="fixed"/>
        <w:tblInd w:w="5500" w:type="dxa"/>
        <w:tblCellMar>
          <w:top w:w="0" w:type="dxa"/>
          <w:left w:w="0" w:type="dxa"/>
          <w:bottom w:w="0" w:type="dxa"/>
          <w:right w:w="0" w:type="dxa"/>
        </w:tblCellMar>
      </w:tblPr>
      <w:tr>
        <w:trPr>
          <w:trHeight w:val="138"/>
        </w:trPr>
        <w:tc>
          <w:tcPr>
            <w:tcW w:w="2000" w:type="dxa"/>
            <w:vAlign w:val="bottom"/>
            <w:vMerge w:val="restart"/>
          </w:tcPr>
          <w:p>
            <w:pPr>
              <w:jc w:val="right"/>
              <w:ind w:right="1633"/>
              <w:spacing w:after="0"/>
              <w:rPr>
                <w:sz w:val="20"/>
                <w:szCs w:val="20"/>
                <w:color w:val="auto"/>
              </w:rPr>
            </w:pPr>
            <w:r>
              <w:rPr>
                <w:rFonts w:ascii="Arial" w:cs="Arial" w:eastAsia="Arial" w:hAnsi="Arial"/>
                <w:sz w:val="21"/>
                <w:szCs w:val="21"/>
                <w:color w:val="auto"/>
                <w:w w:val="93"/>
              </w:rPr>
              <w:t>-5-</w:t>
            </w:r>
          </w:p>
        </w:tc>
        <w:tc>
          <w:tcPr>
            <w:tcW w:w="3740" w:type="dxa"/>
            <w:vAlign w:val="bottom"/>
          </w:tcPr>
          <w:p>
            <w:pPr>
              <w:jc w:val="right"/>
              <w:spacing w:after="0"/>
              <w:rPr>
                <w:sz w:val="20"/>
                <w:szCs w:val="20"/>
                <w:color w:val="auto"/>
              </w:rPr>
            </w:pPr>
            <w:r>
              <w:rPr>
                <w:rFonts w:ascii="Arial" w:cs="Arial" w:eastAsia="Arial" w:hAnsi="Arial"/>
                <w:sz w:val="12"/>
                <w:szCs w:val="12"/>
                <w:color w:val="auto"/>
              </w:rPr>
              <w:t>NORTH CREEK PARKWAY CENTER</w:t>
            </w:r>
          </w:p>
        </w:tc>
        <w:tc>
          <w:tcPr>
            <w:tcW w:w="0" w:type="dxa"/>
            <w:vAlign w:val="bottom"/>
          </w:tcPr>
          <w:p>
            <w:pPr>
              <w:spacing w:after="0"/>
              <w:rPr>
                <w:sz w:val="1"/>
                <w:szCs w:val="1"/>
                <w:color w:val="auto"/>
              </w:rPr>
            </w:pPr>
          </w:p>
        </w:tc>
      </w:tr>
      <w:tr>
        <w:trPr>
          <w:trHeight w:val="158"/>
        </w:trPr>
        <w:tc>
          <w:tcPr>
            <w:tcW w:w="2000" w:type="dxa"/>
            <w:vAlign w:val="bottom"/>
            <w:vMerge w:val="continue"/>
          </w:tcPr>
          <w:p>
            <w:pPr>
              <w:spacing w:after="0"/>
              <w:rPr>
                <w:sz w:val="13"/>
                <w:szCs w:val="13"/>
                <w:color w:val="auto"/>
              </w:rPr>
            </w:pPr>
          </w:p>
        </w:tc>
        <w:tc>
          <w:tcPr>
            <w:tcW w:w="3740" w:type="dxa"/>
            <w:vAlign w:val="bottom"/>
          </w:tcPr>
          <w:p>
            <w:pPr>
              <w:jc w:val="right"/>
              <w:spacing w:after="0"/>
              <w:rPr>
                <w:sz w:val="20"/>
                <w:szCs w:val="20"/>
                <w:color w:val="auto"/>
              </w:rPr>
            </w:pPr>
            <w:r>
              <w:rPr>
                <w:rFonts w:ascii="Arial" w:cs="Arial" w:eastAsia="Arial" w:hAnsi="Arial"/>
                <w:sz w:val="12"/>
                <w:szCs w:val="12"/>
                <w:color w:val="auto"/>
              </w:rPr>
              <w:t>[Labels &amp; Lists,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527"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Litton, certify that:</w:t>
      </w:r>
    </w:p>
    <w:p>
      <w:pPr>
        <w:spacing w:after="0" w:line="221" w:lineRule="exact"/>
        <w:rPr>
          <w:sz w:val="20"/>
          <w:szCs w:val="20"/>
          <w:color w:val="auto"/>
        </w:rPr>
      </w:pPr>
    </w:p>
    <w:p>
      <w:pPr>
        <w:ind w:left="780" w:hanging="773"/>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Athira Pharma, Inc.;</w:t>
      </w:r>
    </w:p>
    <w:p>
      <w:pPr>
        <w:spacing w:after="0" w:line="220" w:lineRule="exact"/>
        <w:rPr>
          <w:rFonts w:ascii="Arial" w:cs="Arial" w:eastAsia="Arial" w:hAnsi="Arial"/>
          <w:sz w:val="18"/>
          <w:szCs w:val="18"/>
          <w:color w:val="auto"/>
        </w:rPr>
      </w:pPr>
    </w:p>
    <w:p>
      <w:pPr>
        <w:jc w:val="both"/>
        <w:ind w:left="780" w:right="80" w:hanging="773"/>
        <w:spacing w:after="0" w:line="259" w:lineRule="auto"/>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780" w:right="60" w:hanging="773"/>
        <w:spacing w:after="0" w:line="301" w:lineRule="auto"/>
        <w:tabs>
          <w:tab w:leader="none" w:pos="7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left="780" w:right="100" w:hanging="773"/>
        <w:spacing w:after="0" w:line="271" w:lineRule="auto"/>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4" w:lineRule="exact"/>
        <w:rPr>
          <w:rFonts w:ascii="Arial" w:cs="Arial" w:eastAsia="Arial" w:hAnsi="Arial"/>
          <w:sz w:val="18"/>
          <w:szCs w:val="18"/>
          <w:color w:val="auto"/>
        </w:rPr>
      </w:pPr>
    </w:p>
    <w:p>
      <w:pPr>
        <w:ind w:left="1560" w:right="180" w:hanging="777"/>
        <w:spacing w:after="0" w:line="281" w:lineRule="auto"/>
        <w:tabs>
          <w:tab w:leader="none" w:pos="156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7"/>
          <w:szCs w:val="17"/>
          <w:color w:val="auto"/>
        </w:rPr>
      </w:pPr>
    </w:p>
    <w:p>
      <w:pPr>
        <w:jc w:val="both"/>
        <w:ind w:left="1560" w:right="40" w:hanging="777"/>
        <w:spacing w:after="0" w:line="417" w:lineRule="auto"/>
        <w:tabs>
          <w:tab w:leader="none" w:pos="156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4"/>
          <w:szCs w:val="14"/>
          <w:color w:val="auto"/>
        </w:rPr>
      </w:pPr>
    </w:p>
    <w:p>
      <w:pPr>
        <w:ind w:left="1560" w:right="40" w:hanging="777"/>
        <w:spacing w:after="0" w:line="259" w:lineRule="auto"/>
        <w:tabs>
          <w:tab w:leader="none" w:pos="15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780" w:right="60" w:hanging="773"/>
        <w:spacing w:after="0" w:line="335" w:lineRule="auto"/>
        <w:tabs>
          <w:tab w:leader="none" w:pos="7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560" w:right="280" w:hanging="777"/>
        <w:spacing w:after="0" w:line="335" w:lineRule="auto"/>
        <w:tabs>
          <w:tab w:leader="none" w:pos="15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60" w:right="560" w:hanging="777"/>
        <w:spacing w:after="0" w:line="271" w:lineRule="auto"/>
        <w:tabs>
          <w:tab w:leader="none" w:pos="15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96455" cy="7131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96455" cy="713105"/>
                    </a:xfrm>
                    <a:prstGeom prst="rect">
                      <a:avLst/>
                    </a:prstGeom>
                    <a:noFill/>
                  </pic:spPr>
                </pic:pic>
              </a:graphicData>
            </a:graphic>
          </wp:anchor>
        </w:drawing>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Mark Litton</w:t>
      </w:r>
    </w:p>
    <w:p>
      <w:pPr>
        <w:spacing w:after="0" w:line="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 Litton</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Operating Officer</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5"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Glenna Mileson, certify that:</w:t>
      </w:r>
    </w:p>
    <w:p>
      <w:pPr>
        <w:spacing w:after="0" w:line="221" w:lineRule="exact"/>
        <w:rPr>
          <w:sz w:val="20"/>
          <w:szCs w:val="20"/>
          <w:color w:val="auto"/>
        </w:rPr>
      </w:pPr>
    </w:p>
    <w:p>
      <w:pPr>
        <w:ind w:left="780" w:hanging="773"/>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Athira Pharma, Inc.;</w:t>
      </w:r>
    </w:p>
    <w:p>
      <w:pPr>
        <w:spacing w:after="0" w:line="220" w:lineRule="exact"/>
        <w:rPr>
          <w:rFonts w:ascii="Arial" w:cs="Arial" w:eastAsia="Arial" w:hAnsi="Arial"/>
          <w:sz w:val="18"/>
          <w:szCs w:val="18"/>
          <w:color w:val="auto"/>
        </w:rPr>
      </w:pPr>
    </w:p>
    <w:p>
      <w:pPr>
        <w:jc w:val="both"/>
        <w:ind w:left="780" w:right="80" w:hanging="773"/>
        <w:spacing w:after="0" w:line="259"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780" w:right="60" w:hanging="773"/>
        <w:spacing w:after="0" w:line="301" w:lineRule="auto"/>
        <w:tabs>
          <w:tab w:leader="none" w:pos="7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left="780" w:right="100" w:hanging="773"/>
        <w:spacing w:after="0" w:line="271"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4" w:lineRule="exact"/>
        <w:rPr>
          <w:rFonts w:ascii="Arial" w:cs="Arial" w:eastAsia="Arial" w:hAnsi="Arial"/>
          <w:sz w:val="18"/>
          <w:szCs w:val="18"/>
          <w:color w:val="auto"/>
        </w:rPr>
      </w:pPr>
    </w:p>
    <w:p>
      <w:pPr>
        <w:ind w:left="1560" w:right="180" w:hanging="777"/>
        <w:spacing w:after="0" w:line="281" w:lineRule="auto"/>
        <w:tabs>
          <w:tab w:leader="none" w:pos="156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7"/>
          <w:szCs w:val="17"/>
          <w:color w:val="auto"/>
        </w:rPr>
      </w:pPr>
    </w:p>
    <w:p>
      <w:pPr>
        <w:jc w:val="both"/>
        <w:ind w:left="1560" w:right="40" w:hanging="777"/>
        <w:spacing w:after="0" w:line="417" w:lineRule="auto"/>
        <w:tabs>
          <w:tab w:leader="none" w:pos="156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4"/>
          <w:szCs w:val="14"/>
          <w:color w:val="auto"/>
        </w:rPr>
      </w:pPr>
    </w:p>
    <w:p>
      <w:pPr>
        <w:ind w:left="1560" w:right="40" w:hanging="777"/>
        <w:spacing w:after="0" w:line="259" w:lineRule="auto"/>
        <w:tabs>
          <w:tab w:leader="none" w:pos="15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780" w:right="60" w:hanging="773"/>
        <w:spacing w:after="0" w:line="335" w:lineRule="auto"/>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560" w:right="280" w:hanging="777"/>
        <w:spacing w:after="0" w:line="335" w:lineRule="auto"/>
        <w:tabs>
          <w:tab w:leader="none" w:pos="15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60" w:right="560" w:hanging="777"/>
        <w:spacing w:after="0" w:line="271" w:lineRule="auto"/>
        <w:tabs>
          <w:tab w:leader="none" w:pos="15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96455" cy="7131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96455" cy="713105"/>
                    </a:xfrm>
                    <a:prstGeom prst="rect">
                      <a:avLst/>
                    </a:prstGeom>
                    <a:noFill/>
                  </pic:spPr>
                </pic:pic>
              </a:graphicData>
            </a:graphic>
          </wp:anchor>
        </w:drawing>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Glenna Mileson</w:t>
      </w:r>
    </w:p>
    <w:p>
      <w:pPr>
        <w:spacing w:after="0" w:line="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Glenna Mileson</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Financial Officer</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33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5" w:lineRule="exact"/>
        <w:rPr>
          <w:sz w:val="20"/>
          <w:szCs w:val="20"/>
          <w:color w:val="auto"/>
        </w:rPr>
      </w:pPr>
    </w:p>
    <w:p>
      <w:pPr>
        <w:ind w:right="60" w:firstLine="788"/>
        <w:spacing w:after="0" w:line="307" w:lineRule="auto"/>
        <w:rPr>
          <w:sz w:val="20"/>
          <w:szCs w:val="20"/>
          <w:color w:val="auto"/>
        </w:rPr>
      </w:pPr>
      <w:r>
        <w:rPr>
          <w:rFonts w:ascii="Arial" w:cs="Arial" w:eastAsia="Arial" w:hAnsi="Arial"/>
          <w:sz w:val="16"/>
          <w:szCs w:val="16"/>
          <w:color w:val="auto"/>
        </w:rPr>
        <w:t xml:space="preserve">In connection with the Quarterly Report of Athira Pharma, Inc. (the “Company”) on Form 10-Q for the quarter ended June 30, 2021, as filed with the Securities and Exchange Commission on the date hereof (the “Report”), I, Mark Litton, Chief Operating Officer </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 xml:space="preserve"> of the Company, certify, pursuant to 18 U.S.C. Section 1350, as adopted pursuant to Section 906 of the Sarbanes-Oxley Act of 2002, that to my knowledge:</w:t>
      </w:r>
    </w:p>
    <w:p>
      <w:pPr>
        <w:spacing w:after="0" w:line="150" w:lineRule="exact"/>
        <w:rPr>
          <w:sz w:val="20"/>
          <w:szCs w:val="20"/>
          <w:color w:val="auto"/>
        </w:rPr>
      </w:pPr>
    </w:p>
    <w:p>
      <w:pPr>
        <w:ind w:left="1180" w:hanging="785"/>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7" w:lineRule="exact"/>
        <w:rPr>
          <w:rFonts w:ascii="Arial" w:cs="Arial" w:eastAsia="Arial" w:hAnsi="Arial"/>
          <w:sz w:val="18"/>
          <w:szCs w:val="18"/>
          <w:color w:val="auto"/>
        </w:rPr>
      </w:pPr>
    </w:p>
    <w:p>
      <w:pPr>
        <w:ind w:left="1180" w:right="500" w:hanging="785"/>
        <w:spacing w:after="0" w:line="271" w:lineRule="auto"/>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196455" cy="7131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96455" cy="713105"/>
                    </a:xfrm>
                    <a:prstGeom prst="rect">
                      <a:avLst/>
                    </a:prstGeom>
                    <a:noFill/>
                  </pic:spPr>
                </pic:pic>
              </a:graphicData>
            </a:graphic>
          </wp:anchor>
        </w:drawing>
      </w: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Mark Litton</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 Litton</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Operating Officer</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Executive Officer)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1" w:lineRule="exact"/>
        <w:rPr>
          <w:sz w:val="20"/>
          <w:szCs w:val="20"/>
          <w:color w:val="auto"/>
        </w:rPr>
      </w:pPr>
    </w:p>
    <w:p>
      <w:pPr>
        <w:ind w:firstLine="788"/>
        <w:spacing w:after="0" w:line="271"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5" w:lineRule="exact"/>
        <w:rPr>
          <w:sz w:val="20"/>
          <w:szCs w:val="20"/>
          <w:color w:val="auto"/>
        </w:rPr>
      </w:pPr>
    </w:p>
    <w:p>
      <w:pPr>
        <w:ind w:right="200" w:firstLine="788"/>
        <w:spacing w:after="0" w:line="307"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33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5" w:lineRule="exact"/>
        <w:rPr>
          <w:sz w:val="20"/>
          <w:szCs w:val="20"/>
          <w:color w:val="auto"/>
        </w:rPr>
      </w:pPr>
    </w:p>
    <w:p>
      <w:pPr>
        <w:ind w:right="60" w:firstLine="788"/>
        <w:spacing w:after="0" w:line="255" w:lineRule="auto"/>
        <w:rPr>
          <w:sz w:val="20"/>
          <w:szCs w:val="20"/>
          <w:color w:val="auto"/>
        </w:rPr>
      </w:pPr>
      <w:r>
        <w:rPr>
          <w:rFonts w:ascii="Arial" w:cs="Arial" w:eastAsia="Arial" w:hAnsi="Arial"/>
          <w:sz w:val="18"/>
          <w:szCs w:val="18"/>
          <w:color w:val="auto"/>
        </w:rPr>
        <w:t xml:space="preserve">In connection with the Quarterly Report of Athira Pharma, Inc. (the “Company”) on Form 10-Q for the quarter ended June 30, 2021, as filed with the Securities and Exchange Commission on the date hereof (the “Report”), I, Glenna Mileson, Chief Financial Officer </w:t>
      </w:r>
      <w:r>
        <w:rPr>
          <w:rFonts w:ascii="Arial" w:cs="Arial" w:eastAsia="Arial" w:hAnsi="Arial"/>
          <w:sz w:val="18"/>
          <w:szCs w:val="18"/>
          <w:i w:val="1"/>
          <w:iCs w:val="1"/>
          <w:color w:val="auto"/>
        </w:rPr>
        <w:t>(Principal Financial and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Officer) </w:t>
      </w:r>
      <w:r>
        <w:rPr>
          <w:rFonts w:ascii="Arial" w:cs="Arial" w:eastAsia="Arial" w:hAnsi="Arial"/>
          <w:sz w:val="18"/>
          <w:szCs w:val="18"/>
          <w:color w:val="auto"/>
        </w:rPr>
        <w:t>of the Company, certify, pursuant to 18 U.S.C. Section 1350, as adopted pursuant to Section 906 of the Sarbanes-Oxley Act of 2002, that to my</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w:t>
      </w:r>
    </w:p>
    <w:p>
      <w:pPr>
        <w:spacing w:after="0" w:line="83" w:lineRule="exact"/>
        <w:rPr>
          <w:sz w:val="20"/>
          <w:szCs w:val="20"/>
          <w:color w:val="auto"/>
        </w:rPr>
      </w:pPr>
    </w:p>
    <w:p>
      <w:pPr>
        <w:ind w:left="1180" w:hanging="785"/>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0" w:lineRule="exact"/>
        <w:rPr>
          <w:rFonts w:ascii="Arial" w:cs="Arial" w:eastAsia="Arial" w:hAnsi="Arial"/>
          <w:sz w:val="18"/>
          <w:szCs w:val="18"/>
          <w:color w:val="auto"/>
        </w:rPr>
      </w:pPr>
    </w:p>
    <w:p>
      <w:pPr>
        <w:ind w:left="1180" w:right="500" w:hanging="785"/>
        <w:spacing w:after="0" w:line="271" w:lineRule="auto"/>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2844800" cy="7131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2844800" cy="713105"/>
                    </a:xfrm>
                    <a:prstGeom prst="rect">
                      <a:avLst/>
                    </a:prstGeom>
                    <a:noFill/>
                  </pic:spPr>
                </pic:pic>
              </a:graphicData>
            </a:graphic>
          </wp:anchor>
        </w:drawing>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Glenna Mileson</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Glenna Mileson</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Financial Officer</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1" w:lineRule="exact"/>
        <w:rPr>
          <w:sz w:val="20"/>
          <w:szCs w:val="20"/>
          <w:color w:val="auto"/>
        </w:rPr>
      </w:pPr>
    </w:p>
    <w:p>
      <w:pPr>
        <w:ind w:firstLine="788"/>
        <w:spacing w:after="0" w:line="271"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5" w:lineRule="exact"/>
        <w:rPr>
          <w:sz w:val="20"/>
          <w:szCs w:val="20"/>
          <w:color w:val="auto"/>
        </w:rPr>
      </w:pPr>
    </w:p>
    <w:p>
      <w:pPr>
        <w:ind w:right="200" w:firstLine="788"/>
        <w:spacing w:after="0" w:line="307"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3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1."/>
      <w:numFmt w:val="decimal"/>
      <w:start w:val="8"/>
    </w:lvl>
  </w:abstractNum>
  <w:abstractNum w:abstractNumId="7">
    <w:nsid w:val="180115BE"/>
    <w:multiLevelType w:val="hybridMultilevel"/>
    <w:lvl w:ilvl="0">
      <w:lvlJc w:val="left"/>
      <w:lvlText w:val="%1."/>
      <w:numFmt w:val="decimal"/>
      <w:start w:val="9"/>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1)"/>
      <w:numFmt w:val="decimal"/>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1)"/>
      <w:numFmt w:val="decimal"/>
      <w:start w:val="2"/>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1"/>
      <w:numFmt w:val="decimal"/>
      <w:start w:val="101"/>
    </w:lvl>
  </w:abstractNum>
  <w:abstractNum w:abstractNumId="53">
    <w:nsid w:val="4962813B"/>
    <w:multiLevelType w:val="hybridMultilevel"/>
    <w:lvl w:ilvl="0">
      <w:lvlJc w:val="left"/>
      <w:lvlText w:val="*"/>
      <w:numFmt w:val="bullet"/>
      <w:start w:val="1"/>
    </w:lvl>
    <w:lvl w:ilvl="1">
      <w:lvlJc w:val="left"/>
      <w:lvlText w:val="%2"/>
      <w:numFmt w:val="decimal"/>
      <w:start w:val="104"/>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1."/>
      <w:numFmt w:val="decimal"/>
      <w:start w:val="1"/>
    </w:lvl>
  </w:abstractNum>
  <w:abstractNum w:abstractNumId="56">
    <w:nsid w:val="14330624"/>
    <w:multiLevelType w:val="hybridMultilevel"/>
    <w:lvl w:ilvl="0">
      <w:lvlJc w:val="left"/>
      <w:lvlText w:val="%1."/>
      <w:numFmt w:val="decimal"/>
      <w:start w:val="4"/>
    </w:lvl>
  </w:abstractNum>
  <w:abstractNum w:abstractNumId="57">
    <w:nsid w:val="7FFFCA11"/>
    <w:multiLevelType w:val="hybridMultilevel"/>
    <w:lvl w:ilvl="0">
      <w:lvlJc w:val="left"/>
      <w:lvlText w:val="%1."/>
      <w:numFmt w:val="decimal"/>
      <w:start w:val="8"/>
    </w:lvl>
  </w:abstractNum>
  <w:abstractNum w:abstractNumId="58">
    <w:nsid w:val="1A27709E"/>
    <w:multiLevelType w:val="hybridMultilevel"/>
    <w:lvl w:ilvl="0">
      <w:lvlJc w:val="left"/>
      <w:lvlText w:val="%1."/>
      <w:numFmt w:val="decimal"/>
      <w:start w:val="12"/>
    </w:lvl>
  </w:abstractNum>
  <w:abstractNum w:abstractNumId="59">
    <w:nsid w:val="71EA1109"/>
    <w:multiLevelType w:val="hybridMultilevel"/>
    <w:lvl w:ilvl="0">
      <w:lvlJc w:val="left"/>
      <w:lvlText w:val="\ldblquote"/>
      <w:numFmt w:val="bullet"/>
      <w:start w:val="1"/>
    </w:lvl>
  </w:abstractNum>
  <w:abstractNum w:abstractNumId="60">
    <w:nsid w:val="100F59DC"/>
    <w:multiLevelType w:val="hybridMultilevel"/>
    <w:lvl w:ilvl="0">
      <w:lvlJc w:val="left"/>
      <w:lvlText w:val="1"/>
      <w:numFmt w:val="bullet"/>
      <w:start w:val="1"/>
    </w:lvl>
  </w:abstractNum>
  <w:abstractNum w:abstractNumId="61">
    <w:nsid w:val="7FB7E0AA"/>
    <w:multiLevelType w:val="hybridMultilevel"/>
    <w:lvl w:ilvl="0">
      <w:lvlJc w:val="left"/>
      <w:lvlText w:val="2"/>
      <w:numFmt w:val="bullet"/>
      <w:start w:val="1"/>
    </w:lvl>
  </w:abstractNum>
  <w:abstractNum w:abstractNumId="62">
    <w:nsid w:val="6EB5BD4"/>
    <w:multiLevelType w:val="hybridMultilevel"/>
    <w:lvl w:ilvl="0">
      <w:lvlJc w:val="left"/>
      <w:lvlText w:val="%1."/>
      <w:numFmt w:val="decimal"/>
      <w:start w:val="3"/>
    </w:lvl>
  </w:abstractNum>
  <w:abstractNum w:abstractNumId="63">
    <w:nsid w:val="6F6DD9AC"/>
    <w:multiLevelType w:val="hybridMultilevel"/>
    <w:lvl w:ilvl="0">
      <w:lvlJc w:val="left"/>
      <w:lvlText w:val="(%1)"/>
      <w:numFmt w:val="lowerLetter"/>
      <w:start w:val="1"/>
    </w:lvl>
  </w:abstractNum>
  <w:abstractNum w:abstractNumId="64">
    <w:nsid w:val="94211F2"/>
    <w:multiLevelType w:val="hybridMultilevel"/>
    <w:lvl w:ilvl="0">
      <w:lvlJc w:val="left"/>
      <w:lvlText w:val="(%1)"/>
      <w:numFmt w:val="lowerLetter"/>
      <w:start w:val="2"/>
    </w:lvl>
  </w:abstractNum>
  <w:abstractNum w:abstractNumId="65">
    <w:nsid w:val="885E1B"/>
    <w:multiLevelType w:val="hybridMultilevel"/>
    <w:lvl w:ilvl="0">
      <w:lvlJc w:val="left"/>
      <w:lvlText w:val="(%1)"/>
      <w:numFmt w:val="lowerLetter"/>
      <w:start w:val="1"/>
    </w:lvl>
  </w:abstractNum>
  <w:abstractNum w:abstractNumId="66">
    <w:nsid w:val="76272110"/>
    <w:multiLevelType w:val="hybridMultilevel"/>
    <w:lvl w:ilvl="0">
      <w:lvlJc w:val="left"/>
      <w:lvlText w:val="%1."/>
      <w:numFmt w:val="decimal"/>
      <w:start w:val="4"/>
    </w:lvl>
  </w:abstractNum>
  <w:abstractNum w:abstractNumId="67">
    <w:nsid w:val="4C04A8AF"/>
    <w:multiLevelType w:val="hybridMultilevel"/>
    <w:lvl w:ilvl="0">
      <w:lvlJc w:val="left"/>
      <w:lvlText w:val="(%1)"/>
      <w:numFmt w:val="lowerLetter"/>
      <w:start w:val="1"/>
    </w:lvl>
    <w:lvl w:ilvl="1">
      <w:lvlJc w:val="left"/>
      <w:lvlText w:val="-"/>
      <w:numFmt w:val="bullet"/>
      <w:start w:val="1"/>
    </w:lvl>
  </w:abstractNum>
  <w:abstractNum w:abstractNumId="68">
    <w:nsid w:val="1716703B"/>
    <w:multiLevelType w:val="hybridMultilevel"/>
    <w:lvl w:ilvl="0">
      <w:lvlJc w:val="left"/>
      <w:lvlText w:val="%1"/>
      <w:numFmt w:val="decimal"/>
      <w:start w:val="1"/>
    </w:lvl>
    <w:lvl w:ilvl="1">
      <w:lvlJc w:val="left"/>
      <w:lvlText w:val="(%2)"/>
      <w:numFmt w:val="lowerLetter"/>
      <w:start w:val="3"/>
    </w:lvl>
  </w:abstractNum>
  <w:abstractNum w:abstractNumId="69">
    <w:nsid w:val="14E17E33"/>
    <w:multiLevelType w:val="hybridMultilevel"/>
    <w:lvl w:ilvl="0">
      <w:lvlJc w:val="left"/>
      <w:lvlText w:val="%1."/>
      <w:numFmt w:val="decimal"/>
      <w:start w:val="6"/>
    </w:lvl>
    <w:lvl w:ilvl="1">
      <w:lvlJc w:val="left"/>
      <w:lvlText w:val="%2"/>
      <w:numFmt w:val="lowerLetter"/>
      <w:start w:val="1"/>
    </w:lvl>
  </w:abstractNum>
  <w:abstractNum w:abstractNumId="70">
    <w:nsid w:val="3222E7CD"/>
    <w:multiLevelType w:val="hybridMultilevel"/>
    <w:lvl w:ilvl="0">
      <w:lvlJc w:val="left"/>
      <w:lvlText w:val="(%1)"/>
      <w:numFmt w:val="lowerLetter"/>
      <w:start w:val="1"/>
    </w:lvl>
    <w:lvl w:ilvl="1">
      <w:lvlJc w:val="left"/>
      <w:lvlText w:val="-"/>
      <w:numFmt w:val="bullet"/>
      <w:start w:val="1"/>
    </w:lvl>
  </w:abstractNum>
  <w:abstractNum w:abstractNumId="71">
    <w:nsid w:val="74DE0EE3"/>
    <w:multiLevelType w:val="hybridMultilevel"/>
    <w:lvl w:ilvl="0">
      <w:lvlJc w:val="left"/>
      <w:lvlText w:val="%1."/>
      <w:numFmt w:val="decimal"/>
      <w:start w:val="7"/>
    </w:lvl>
  </w:abstractNum>
  <w:abstractNum w:abstractNumId="72">
    <w:nsid w:val="68EBC550"/>
    <w:multiLevelType w:val="hybridMultilevel"/>
    <w:lvl w:ilvl="0">
      <w:lvlJc w:val="left"/>
      <w:lvlText w:val="(%1)"/>
      <w:numFmt w:val="lowerLetter"/>
      <w:start w:val="1"/>
    </w:lvl>
    <w:lvl w:ilvl="1">
      <w:lvlJc w:val="left"/>
      <w:lvlText w:val="-"/>
      <w:numFmt w:val="bullet"/>
      <w:start w:val="1"/>
    </w:lvl>
  </w:abstractNum>
  <w:abstractNum w:abstractNumId="73">
    <w:nsid w:val="2DF6D648"/>
    <w:multiLevelType w:val="hybridMultilevel"/>
    <w:lvl w:ilvl="0">
      <w:lvlJc w:val="left"/>
      <w:lvlText w:val="(%1)"/>
      <w:numFmt w:val="lowerLetter"/>
      <w:start w:val="2"/>
    </w:lvl>
    <w:lvl w:ilvl="1">
      <w:lvlJc w:val="left"/>
      <w:lvlText w:val="-"/>
      <w:numFmt w:val="bullet"/>
      <w:start w:val="1"/>
    </w:lvl>
  </w:abstractNum>
  <w:abstractNum w:abstractNumId="74">
    <w:nsid w:val="46B7D447"/>
    <w:multiLevelType w:val="hybridMultilevel"/>
    <w:lvl w:ilvl="0">
      <w:lvlJc w:val="left"/>
      <w:lvlText w:val="(%1)"/>
      <w:numFmt w:val="lowerLetter"/>
      <w:start w:val="2"/>
    </w:lvl>
    <w:lvl w:ilvl="1">
      <w:lvlJc w:val="left"/>
      <w:lvlText w:val="-"/>
      <w:numFmt w:val="bullet"/>
      <w:start w:val="1"/>
    </w:lvl>
  </w:abstractNum>
  <w:abstractNum w:abstractNumId="75">
    <w:nsid w:val="4A2AC315"/>
    <w:multiLevelType w:val="hybridMultilevel"/>
    <w:lvl w:ilvl="0">
      <w:lvlJc w:val="left"/>
      <w:lvlText w:val="%1."/>
      <w:numFmt w:val="decimal"/>
      <w:start w:val="8"/>
    </w:lvl>
    <w:lvl w:ilvl="1">
      <w:lvlJc w:val="left"/>
      <w:lvlText w:val="-"/>
      <w:numFmt w:val="bullet"/>
      <w:start w:val="1"/>
    </w:lvl>
  </w:abstractNum>
  <w:abstractNum w:abstractNumId="76">
    <w:nsid w:val="39EE015C"/>
    <w:multiLevelType w:val="hybridMultilevel"/>
    <w:lvl w:ilvl="0">
      <w:lvlJc w:val="left"/>
      <w:lvlText w:val="%1."/>
      <w:numFmt w:val="decimal"/>
      <w:start w:val="9"/>
    </w:lvl>
  </w:abstractNum>
  <w:abstractNum w:abstractNumId="77">
    <w:nsid w:val="57FC4FBB"/>
    <w:multiLevelType w:val="hybridMultilevel"/>
    <w:lvl w:ilvl="0">
      <w:lvlJc w:val="left"/>
      <w:lvlText w:val="%1."/>
      <w:numFmt w:val="decimal"/>
      <w:start w:val="10"/>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decimal"/>
      <w:start w:val="5"/>
    </w:lvl>
  </w:abstractNum>
  <w:abstractNum w:abstractNumId="80">
    <w:nsid w:val="60EF0119"/>
    <w:multiLevelType w:val="hybridMultilevel"/>
    <w:lvl w:ilvl="0">
      <w:lvlJc w:val="left"/>
      <w:lvlText w:val="%1."/>
      <w:numFmt w:val="decimal"/>
      <w:start w:val="9"/>
    </w:lvl>
  </w:abstractNum>
  <w:abstractNum w:abstractNumId="81">
    <w:nsid w:val="26F324BA"/>
    <w:multiLevelType w:val="hybridMultilevel"/>
    <w:lvl w:ilvl="0">
      <w:lvlJc w:val="left"/>
      <w:lvlText w:val="%1."/>
      <w:numFmt w:val="decimal"/>
      <w:start w:val="12"/>
    </w:lvl>
  </w:abstractNum>
  <w:abstractNum w:abstractNumId="82">
    <w:nsid w:val="7F01579B"/>
    <w:multiLevelType w:val="hybridMultilevel"/>
    <w:lvl w:ilvl="0">
      <w:lvlJc w:val="left"/>
      <w:lvlText w:val="\ldblquote"/>
      <w:numFmt w:val="bullet"/>
      <w:start w:val="1"/>
    </w:lvl>
  </w:abstractNum>
  <w:abstractNum w:abstractNumId="83">
    <w:nsid w:val="49DA307D"/>
    <w:multiLevelType w:val="hybridMultilevel"/>
    <w:lvl w:ilvl="0">
      <w:lvlJc w:val="left"/>
      <w:lvlText w:val="%1."/>
      <w:numFmt w:val="decimal"/>
      <w:start w:val="1"/>
    </w:lvl>
  </w:abstractNum>
  <w:abstractNum w:abstractNumId="84">
    <w:nsid w:val="7055A5F5"/>
    <w:multiLevelType w:val="hybridMultilevel"/>
    <w:lvl w:ilvl="0">
      <w:lvlJc w:val="left"/>
      <w:lvlText w:val="(%1)"/>
      <w:numFmt w:val="lowerLetter"/>
      <w:start w:val="1"/>
    </w:lvl>
  </w:abstractNum>
  <w:abstractNum w:abstractNumId="85">
    <w:nsid w:val="5FB8370B"/>
    <w:multiLevelType w:val="hybridMultilevel"/>
    <w:lvl w:ilvl="0">
      <w:lvlJc w:val="left"/>
      <w:lvlText w:val="(%1)"/>
      <w:numFmt w:val="lowerLetter"/>
      <w:start w:val="2"/>
    </w:lvl>
  </w:abstractNum>
  <w:abstractNum w:abstractNumId="86">
    <w:nsid w:val="50801EE1"/>
    <w:multiLevelType w:val="hybridMultilevel"/>
    <w:lvl w:ilvl="0">
      <w:lvlJc w:val="left"/>
      <w:lvlText w:val="(%1)"/>
      <w:numFmt w:val="lowerLetter"/>
      <w:start w:val="1"/>
    </w:lvl>
  </w:abstractNum>
  <w:abstractNum w:abstractNumId="87">
    <w:nsid w:val="488AC1A"/>
    <w:multiLevelType w:val="hybridMultilevel"/>
    <w:lvl w:ilvl="0">
      <w:lvlJc w:val="left"/>
      <w:lvlText w:val="%1."/>
      <w:numFmt w:val="decimal"/>
      <w:start w:val="4"/>
    </w:lvl>
  </w:abstractNum>
  <w:abstractNum w:abstractNumId="88">
    <w:nsid w:val="5FB8011C"/>
    <w:multiLevelType w:val="hybridMultilevel"/>
    <w:lvl w:ilvl="0">
      <w:lvlJc w:val="left"/>
      <w:lvlText w:val="(%1)"/>
      <w:numFmt w:val="lowerLetter"/>
      <w:start w:val="1"/>
    </w:lvl>
  </w:abstractNum>
  <w:abstractNum w:abstractNumId="89">
    <w:nsid w:val="6AA78F7F"/>
    <w:multiLevelType w:val="hybridMultilevel"/>
    <w:lvl w:ilvl="0">
      <w:lvlJc w:val="left"/>
      <w:lvlText w:val="(%1)"/>
      <w:numFmt w:val="lowerLetter"/>
      <w:start w:val="2"/>
    </w:lvl>
  </w:abstractNum>
  <w:abstractNum w:abstractNumId="90">
    <w:nsid w:val="7672BD23"/>
    <w:multiLevelType w:val="hybridMultilevel"/>
    <w:lvl w:ilvl="0">
      <w:lvlJc w:val="left"/>
      <w:lvlText w:val="%1"/>
      <w:numFmt w:val="decimal"/>
      <w:start w:val="1"/>
    </w:lvl>
    <w:lvl w:ilvl="1">
      <w:lvlJc w:val="left"/>
      <w:lvlText w:val="(%2)"/>
      <w:numFmt w:val="lowerLetter"/>
      <w:start w:val="3"/>
    </w:lvl>
  </w:abstractNum>
  <w:abstractNum w:abstractNumId="91">
    <w:nsid w:val="6FC75AF8"/>
    <w:multiLevelType w:val="hybridMultilevel"/>
    <w:lvl w:ilvl="0">
      <w:lvlJc w:val="left"/>
      <w:lvlText w:val="%1."/>
      <w:numFmt w:val="decimal"/>
      <w:start w:val="6"/>
    </w:lvl>
    <w:lvl w:ilvl="1">
      <w:lvlJc w:val="left"/>
      <w:lvlText w:val="%2"/>
      <w:numFmt w:val="lowerLetter"/>
      <w:start w:val="1"/>
    </w:lvl>
  </w:abstractNum>
  <w:abstractNum w:abstractNumId="92">
    <w:nsid w:val="6A5F7029"/>
    <w:multiLevelType w:val="hybridMultilevel"/>
    <w:lvl w:ilvl="0">
      <w:lvlJc w:val="left"/>
      <w:lvlText w:val="(%1)"/>
      <w:numFmt w:val="lowerLetter"/>
      <w:start w:val="1"/>
    </w:lvl>
  </w:abstractNum>
  <w:abstractNum w:abstractNumId="93">
    <w:nsid w:val="7D5E18F8"/>
    <w:multiLevelType w:val="hybridMultilevel"/>
    <w:lvl w:ilvl="0">
      <w:lvlJc w:val="left"/>
      <w:lvlText w:val="(%1)"/>
      <w:numFmt w:val="lowerRoman"/>
      <w:start w:val="3"/>
    </w:lvl>
  </w:abstractNum>
  <w:abstractNum w:abstractNumId="94">
    <w:nsid w:val="5F3534A4"/>
    <w:multiLevelType w:val="hybridMultilevel"/>
    <w:lvl w:ilvl="0">
      <w:lvlJc w:val="left"/>
      <w:lvlText w:val="%1."/>
      <w:numFmt w:val="decimal"/>
      <w:start w:val="7"/>
    </w:lvl>
  </w:abstractNum>
  <w:abstractNum w:abstractNumId="95">
    <w:nsid w:val="73A1821B"/>
    <w:multiLevelType w:val="hybridMultilevel"/>
    <w:lvl w:ilvl="0">
      <w:lvlJc w:val="left"/>
      <w:lvlText w:val="(%1)"/>
      <w:numFmt w:val="lowerLetter"/>
      <w:start w:val="1"/>
    </w:lvl>
  </w:abstractNum>
  <w:abstractNum w:abstractNumId="96">
    <w:nsid w:val="7DE67713"/>
    <w:multiLevelType w:val="hybridMultilevel"/>
    <w:lvl w:ilvl="0">
      <w:lvlJc w:val="left"/>
      <w:lvlText w:val="(%1)"/>
      <w:numFmt w:val="lowerLetter"/>
      <w:start w:val="2"/>
    </w:lvl>
  </w:abstractNum>
  <w:abstractNum w:abstractNumId="97">
    <w:nsid w:val="555C55B5"/>
    <w:multiLevelType w:val="hybridMultilevel"/>
    <w:lvl w:ilvl="0">
      <w:lvlJc w:val="left"/>
      <w:lvlText w:val="%1."/>
      <w:numFmt w:val="decimal"/>
      <w:start w:val="8"/>
    </w:lvl>
  </w:abstractNum>
  <w:abstractNum w:abstractNumId="98">
    <w:nsid w:val="3FA62ACA"/>
    <w:multiLevelType w:val="hybridMultilevel"/>
    <w:lvl w:ilvl="0">
      <w:lvlJc w:val="left"/>
      <w:lvlText w:val="%1."/>
      <w:numFmt w:val="decimal"/>
      <w:start w:val="9"/>
    </w:lvl>
  </w:abstractNum>
  <w:abstractNum w:abstractNumId="99">
    <w:nsid w:val="14FCE74E"/>
    <w:multiLevelType w:val="hybridMultilevel"/>
    <w:lvl w:ilvl="0">
      <w:lvlJc w:val="left"/>
      <w:lvlText w:val="%1."/>
      <w:numFmt w:val="decimal"/>
      <w:start w:val="10"/>
    </w:lvl>
  </w:abstractNum>
  <w:abstractNum w:abstractNumId="100">
    <w:nsid w:val="6A3DD3E8"/>
    <w:multiLevelType w:val="hybridMultilevel"/>
    <w:lvl w:ilvl="0">
      <w:lvlJc w:val="left"/>
      <w:lvlText w:val="%1."/>
      <w:numFmt w:val="upperLetter"/>
      <w:start w:val="1"/>
    </w:lvl>
  </w:abstractNum>
  <w:abstractNum w:abstractNumId="101">
    <w:nsid w:val="71C91298"/>
    <w:multiLevelType w:val="hybridMultilevel"/>
    <w:lvl w:ilvl="0">
      <w:lvlJc w:val="left"/>
      <w:lvlText w:val="%1."/>
      <w:numFmt w:val="decimal"/>
      <w:start w:val="1"/>
    </w:lvl>
  </w:abstractNum>
  <w:abstractNum w:abstractNumId="102">
    <w:nsid w:val="9DAF632"/>
    <w:multiLevelType w:val="hybridMultilevel"/>
    <w:lvl w:ilvl="0">
      <w:lvlJc w:val="left"/>
      <w:lvlText w:val="%1."/>
      <w:numFmt w:val="decimal"/>
      <w:start w:val="4"/>
    </w:lvl>
  </w:abstractNum>
  <w:abstractNum w:abstractNumId="103">
    <w:nsid w:val="53299938"/>
    <w:multiLevelType w:val="hybridMultilevel"/>
    <w:lvl w:ilvl="0">
      <w:lvlJc w:val="left"/>
      <w:lvlText w:val="%1."/>
      <w:numFmt w:val="decimal"/>
      <w:start w:val="1"/>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jpe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jpe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jpeg"/><Relationship Id="rId149" Type="http://schemas.openxmlformats.org/officeDocument/2006/relationships/image" Target="media/image140.png"/><Relationship Id="rId150" Type="http://schemas.openxmlformats.org/officeDocument/2006/relationships/image" Target="media/image141.jpeg"/><Relationship Id="rId151" Type="http://schemas.openxmlformats.org/officeDocument/2006/relationships/image" Target="media/image142.png"/><Relationship Id="rId152" Type="http://schemas.openxmlformats.org/officeDocument/2006/relationships/image" Target="media/image143.jpeg"/><Relationship Id="rId153" Type="http://schemas.openxmlformats.org/officeDocument/2006/relationships/image" Target="media/image144.png"/><Relationship Id="rId154" Type="http://schemas.openxmlformats.org/officeDocument/2006/relationships/image" Target="media/image145.jpe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jpeg"/><Relationship Id="rId159" Type="http://schemas.openxmlformats.org/officeDocument/2006/relationships/image" Target="media/image150.png"/><Relationship Id="rId160" Type="http://schemas.openxmlformats.org/officeDocument/2006/relationships/image" Target="media/image151.jpe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09" Type="http://schemas.openxmlformats.org/officeDocument/2006/relationships/hyperlink" Target="http://www.sec.gov/Archives/edgar/data/0001620463/000156459020042848/atha-ex31_91.htm" TargetMode="External"/><Relationship Id="rId110" Type="http://schemas.openxmlformats.org/officeDocument/2006/relationships/hyperlink" Target="http://www.sec.gov/Archives/edgar/data/0001620463/000156459020042848/atha-ex32_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2021-08-16T15:40:07Z</dcterms:created>
  <dcterms:modified xsi:type="dcterms:W3CDTF">2021-08-16T15:40:07Z</dcterms:modified>
</cp:coreProperties>
</file>