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ona-20260814.htm"/>
      <w:bookmarkStart w:id="1" w:name="kslona20260814"/>
      <w:bookmarkEnd w:id="0"/>
      <w:bookmarkEnd w:id="1"/>
      <w:r>
        <w:rPr/>
        <w: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bookmarkStart w:id="2" w:name="agm_results"/>
      <w:bookmarkEnd w:id="2"/>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4" w:space="1" w:color="000000"/>
        </w:pBdr>
        <w:bidi w:val="0"/>
        <w:jc w:val="center"/>
        <w:rPr/>
      </w:pPr>
      <w:r>
        <w:rPr/>
        <w:t> </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August 14, 2026</w:t>
      </w:r>
    </w:p>
    <w:p>
      <w:pPr>
        <w:pStyle w:val="TextBody"/>
        <w:pBdr>
          <w:bottom w:val="single" w:sz="4" w:space="1" w:color="000000"/>
        </w:pBdr>
        <w:bidi w:val="0"/>
        <w:jc w:val="center"/>
        <w:rPr/>
      </w:pPr>
      <w:r>
        <w:rPr/>
        <w:t> </w:t>
      </w:r>
    </w:p>
    <w:p>
      <w:pPr>
        <w:pStyle w:val="TextBody"/>
        <w:bidi w:val="0"/>
        <w:spacing w:before="160" w:after="283"/>
        <w:jc w:val="center"/>
        <w:rPr>
          <w:rFonts w:ascii="Times New Roman" w:hAnsi="Times New Roman"/>
          <w:b/>
          <w:color w:val="000000"/>
          <w:sz w:val="48"/>
        </w:rPr>
      </w:pPr>
      <w:r>
        <w:rPr>
          <w:rFonts w:ascii="Times New Roman" w:hAnsi="Times New Roman"/>
          <w:b/>
          <w:color w:val="000000"/>
          <w:sz w:val="48"/>
        </w:rPr>
        <w:t>LeonaBio,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4623" w:type="dxa"/>
        <w:jc w:val="left"/>
        <w:tblInd w:w="0" w:type="dxa"/>
        <w:tblLayout w:type="fixed"/>
        <w:tblCellMar>
          <w:top w:w="28" w:type="dxa"/>
          <w:left w:w="28" w:type="dxa"/>
          <w:bottom w:w="28" w:type="dxa"/>
          <w:right w:w="28" w:type="dxa"/>
        </w:tblCellMar>
      </w:tblPr>
      <w:tblGrid>
        <w:gridCol w:w="2071"/>
        <w:gridCol w:w="106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Delaware</w:t>
            </w:r>
          </w:p>
        </w:tc>
        <w:tc>
          <w:tcPr>
            <w:tcW w:w="10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001-39503</w:t>
            </w:r>
          </w:p>
        </w:tc>
        <w:tc>
          <w:tcPr>
            <w:tcW w:w="14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45-3368487</w:t>
            </w:r>
          </w:p>
        </w:tc>
      </w:tr>
      <w:tr>
        <w:trPr/>
        <w:tc>
          <w:tcPr>
            <w:tcW w:w="207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of incorporation)</w:t>
            </w:r>
          </w:p>
        </w:tc>
        <w:tc>
          <w:tcPr>
            <w:tcW w:w="106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18706 North Creek Parkway, Suite 104</w:t>
        <w:br/>
        <w:t>Bothell, WA</w:t>
      </w:r>
      <w:r>
        <w:rPr>
          <w:rFonts w:ascii="Times New Roman" w:hAnsi="Times New Roman"/>
          <w:color w:val="000000"/>
          <w:sz w:val="20"/>
        </w:rPr>
        <w:t xml:space="preserve"> </w:t>
      </w:r>
      <w:r>
        <w:rPr>
          <w:rFonts w:ascii="Times New Roman" w:hAnsi="Times New Roman"/>
          <w:b/>
          <w:color w:val="000000"/>
          <w:sz w:val="20"/>
        </w:rPr>
        <w:t>98011</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(425) 620-8501</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058" w:type="dxa"/>
        <w:jc w:val="left"/>
        <w:tblInd w:w="0" w:type="dxa"/>
        <w:tblLayout w:type="fixed"/>
        <w:tblCellMar>
          <w:top w:w="28" w:type="dxa"/>
          <w:left w:w="28" w:type="dxa"/>
          <w:bottom w:w="28" w:type="dxa"/>
          <w:right w:w="28" w:type="dxa"/>
        </w:tblCellMar>
      </w:tblPr>
      <w:tblGrid>
        <w:gridCol w:w="3286"/>
        <w:gridCol w:w="145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LONA</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 Stock Market LLC</w:t>
            </w:r>
            <w:r>
              <w:rPr>
                <w:rFonts w:ascii="Times New Roman" w:hAnsi="Times New Roman"/>
                <w:color w:val="000000"/>
                <w:sz w:val="20"/>
              </w:rPr>
              <w:t> </w:t>
            </w:r>
            <w:r>
              <w:rPr>
                <w:rFonts w:ascii="Times New Roman" w:hAnsi="Times New Roman"/>
                <w:color w:val="000000"/>
                <w:sz w:val="18"/>
              </w:rPr>
              <w:br/>
              <w:t>(The Nasdaq Capital Market)</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762" w:type="dxa"/>
        <w:jc w:val="left"/>
        <w:tblInd w:w="0" w:type="dxa"/>
        <w:tblLayout w:type="fixed"/>
        <w:tblCellMar>
          <w:top w:w="28" w:type="dxa"/>
          <w:left w:w="28" w:type="dxa"/>
          <w:bottom w:w="28" w:type="dxa"/>
          <w:right w:w="28" w:type="dxa"/>
        </w:tblCellMar>
      </w:tblPr>
      <w:tblGrid>
        <w:gridCol w:w="2401"/>
        <w:gridCol w:w="361"/>
      </w:tblGrid>
      <w:tr>
        <w:trPr/>
        <w:tc>
          <w:tcPr>
            <w:tcW w:w="24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14, 2026, LeonaBio, Inc. (the “Company”) issued a press release reporting its financial results for the quarter ended June 30, 2026. A copy of the press release is furnished herewith as Exhibit 99.1.</w:t>
      </w:r>
    </w:p>
    <w:p>
      <w:pPr>
        <w:pStyle w:val="TextBody"/>
        <w:bidi w:val="0"/>
        <w:spacing w:before="240" w:after="283"/>
        <w:jc w:val="left"/>
        <w:rPr>
          <w:rFonts w:ascii="Times New Roman" w:hAnsi="Times New Roman"/>
          <w:sz w:val="20"/>
        </w:rPr>
      </w:pPr>
      <w:r>
        <w:rPr>
          <w:rFonts w:ascii="Times New Roman" w:hAnsi="Times New Roman"/>
          <w:color w:val="000000"/>
          <w:sz w:val="20"/>
        </w:rPr>
        <w:t>I</w:t>
      </w:r>
      <w:r>
        <w:rPr>
          <w:rFonts w:ascii="Times New Roman" w:hAnsi="Times New Roman"/>
          <w:b/>
          <w:color w:val="000000"/>
          <w:sz w:val="20"/>
        </w:rPr>
        <w:t>tem 7.01 Regulation FD Disclosure.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announces material information to the public through a variety of means, including filings with the Securities and Exchange Commission, press releases, public conference calls, the Company’s website (www.leonabio.com), its investor relations website (investors.leonabio.com), and its news site (investors.leonabio.com/news-and-events/press-releases). The Company uses these channels, as well as social media, including its X account (@leonabioinc), LinkedIn account (www.linkedin.com/company/leonabio), Instagram account (@leona.bio) and Facebook page (www.facebook.com/leonabioinc/),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6118" w:type="dxa"/>
        <w:jc w:val="left"/>
        <w:tblInd w:w="0" w:type="dxa"/>
        <w:tblLayout w:type="fixed"/>
        <w:tblCellMar>
          <w:top w:w="28" w:type="dxa"/>
          <w:left w:w="28" w:type="dxa"/>
          <w:bottom w:w="28" w:type="dxa"/>
          <w:right w:w="28" w:type="dxa"/>
        </w:tblCellMar>
      </w:tblPr>
      <w:tblGrid>
        <w:gridCol w:w="946"/>
        <w:gridCol w:w="146"/>
        <w:gridCol w:w="502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02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both"/>
              <w:rPr/>
            </w:pPr>
            <w:hyperlink w:anchor="lona-ex99_1.htm">
              <w:r>
                <w:rPr>
                  <w:rStyle w:val="InternetLink"/>
                  <w:rFonts w:ascii="Times New Roman" w:hAnsi="Times New Roman"/>
                  <w:color w:val="0000FF"/>
                  <w:sz w:val="20"/>
                  <w:u w:val="single"/>
                </w:rPr>
                <w:t>LeonaBio, Inc. press release dated August 14,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information furnished in this Current Report under Items 2.02 and 7.01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629" w:type="dxa"/>
        <w:jc w:val="left"/>
        <w:tblInd w:w="0" w:type="dxa"/>
        <w:tblLayout w:type="fixed"/>
        <w:tblCellMar>
          <w:top w:w="28" w:type="dxa"/>
          <w:left w:w="28" w:type="dxa"/>
          <w:bottom w:w="28" w:type="dxa"/>
          <w:right w:w="28" w:type="dxa"/>
        </w:tblCellMar>
      </w:tblPr>
      <w:tblGrid>
        <w:gridCol w:w="556"/>
        <w:gridCol w:w="1456"/>
        <w:gridCol w:w="406"/>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LeonaBio,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August 14,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Litton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Litton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b/>
          <w:color w:val="000000"/>
          <w:sz w:val="22"/>
        </w:rPr>
      </w:pPr>
      <w:bookmarkStart w:id="3" w:name="lona-ex99_1.htm"/>
      <w:bookmarkStart w:id="4" w:name="kslonaex99_1"/>
      <w:bookmarkEnd w:id="3"/>
      <w:bookmarkEnd w:id="4"/>
      <w:r>
        <w:rPr>
          <w:rFonts w:ascii="Aptos;sans-serif" w:hAnsi="Aptos;sans-serif"/>
          <w:b/>
          <w:color w:val="000000"/>
          <w:sz w:val="22"/>
        </w:rPr>
        <w:t>Exhibit 99.1</w:t>
      </w:r>
      <w:r>
        <w:br w:type="page"/>
      </w:r>
    </w:p>
    <w:p>
      <w:pPr>
        <w:pStyle w:val="TextBody"/>
        <w:bidi w:val="0"/>
        <w:jc w:val="center"/>
        <w:rPr/>
      </w:pPr>
      <w:r>
        <w:rPr/>
        <w:t> </w:t>
      </w:r>
    </w:p>
    <w:p>
      <w:pPr>
        <w:pStyle w:val="TextBody"/>
        <w:bidi w:val="0"/>
        <w:jc w:val="center"/>
        <w:rPr/>
      </w:pPr>
      <w:r>
        <w:rPr/>
        <w:t> </w:t>
      </w:r>
    </w:p>
    <w:p>
      <w:pPr>
        <w:pStyle w:val="TextBody"/>
        <w:bidi w:val="0"/>
        <w:jc w:val="center"/>
        <w:rPr>
          <w:rFonts w:ascii="sans-serif" w:hAnsi="sans-serif"/>
          <w:b/>
          <w:color w:val="000000"/>
          <w:sz w:val="28"/>
        </w:rPr>
      </w:pPr>
      <w:r>
        <w:rPr>
          <w:rFonts w:ascii="sans-serif" w:hAnsi="sans-serif"/>
          <w:b/>
          <w:color w:val="000000"/>
          <w:sz w:val="28"/>
        </w:rPr>
        <w:t>LeonaBio Reports Second Quarter 2026 Financial Results and Provides Business Update</w:t>
      </w:r>
    </w:p>
    <w:p>
      <w:pPr>
        <w:pStyle w:val="TextBody"/>
        <w:bidi w:val="0"/>
        <w:jc w:val="left"/>
        <w:rPr/>
      </w:pPr>
      <w:r>
        <w:rPr/>
        <w:t> </w:t>
      </w:r>
    </w:p>
    <w:p>
      <w:pPr>
        <w:pStyle w:val="TextBody"/>
        <w:bidi w:val="0"/>
        <w:jc w:val="center"/>
        <w:rPr/>
      </w:pPr>
      <w:r>
        <w:rPr/>
        <w:t> </w:t>
      </w:r>
    </w:p>
    <w:p>
      <w:pPr>
        <w:pStyle w:val="TextBody"/>
        <w:bidi w:val="0"/>
        <w:jc w:val="center"/>
        <w:rPr>
          <w:rFonts w:ascii="sans-serif" w:hAnsi="sans-serif"/>
          <w:i/>
          <w:color w:val="000000"/>
          <w:sz w:val="24"/>
        </w:rPr>
      </w:pPr>
      <w:r>
        <w:rPr>
          <w:rFonts w:ascii="sans-serif" w:hAnsi="sans-serif"/>
          <w:i/>
          <w:color w:val="000000"/>
          <w:sz w:val="24"/>
        </w:rPr>
        <w:t>On Track to Complete Enrollment of Phase 3 ELAINE-3 Clinical Trial of Lasofoxifene in ER-positive (ER+), HER2-negative, ESR1-mutated Metastatic Breast Cancer in 4Q 2026 with Topline Data Expected in 2H 2027</w:t>
      </w:r>
    </w:p>
    <w:p>
      <w:pPr>
        <w:pStyle w:val="TextBody"/>
        <w:bidi w:val="0"/>
        <w:jc w:val="center"/>
        <w:rPr/>
      </w:pPr>
      <w:r>
        <w:rPr/>
        <w:t> </w:t>
      </w:r>
    </w:p>
    <w:p>
      <w:pPr>
        <w:pStyle w:val="TextBody"/>
        <w:bidi w:val="0"/>
        <w:jc w:val="left"/>
        <w:rPr>
          <w:rFonts w:ascii="Times New Roman" w:hAnsi="Times New Roman"/>
          <w:sz w:val="20"/>
        </w:rPr>
      </w:pPr>
      <w:r>
        <w:rPr>
          <w:rFonts w:ascii="sans-serif" w:hAnsi="sans-serif"/>
          <w:b/>
          <w:color w:val="000000"/>
          <w:sz w:val="22"/>
        </w:rPr>
        <w:t xml:space="preserve">BOTHELL, Wash., August 14, 2026 – LeonaBio, Inc. </w:t>
      </w:r>
      <w:r>
        <w:rPr>
          <w:rFonts w:ascii="sans-serif" w:hAnsi="sans-serif"/>
          <w:color w:val="000000"/>
          <w:sz w:val="22"/>
        </w:rPr>
        <w:t>(NASDAQ: LONA), a clinical-stage biopharmaceutical company dedicated to the development of novel therapeutics for diseases with high unmet medical needs, today reported financial results for the quarter ended June 30, 2026, and provided recent pipeline and business updates.</w:t>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2"/>
        </w:rPr>
        <w:t>We enter the second half of 2026 with a clear focus on executing our Phase 3 ELAINE-3 trial and advancing lasofoxifene toward what we believe could be a transformative treatment option for patients with ESR1-mutated metastatic breast cancer,” said Mark Litton, Ph.D., President and Chief Executive Officer of LeonaBio. “We have enrolled 495 patients and remain on track to complete enrollment of ELAINE-3 in the fourth quarter of 2026 with topline data expected in the second half of 2027. As the treatment landscape for metastatic breast cancer continues to evolve, we believe the differentiated profile of lasofoxifene positions it to address a significant unmet need as a potential endocrine therapy partner and create opportunities beyond ELAINE-3, including additional combination strategies and future label expansions. The body of clinical and scientific evidence behind lasofoxifene supports our confidence in its potential to greatly benefit patients battling this difficult-to-treat form of breast cancer.”</w:t>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2"/>
        </w:rPr>
        <w:t>As we approach the completion of enrollment in this Phase 3 registrational trial, we are investing today in critical CMC, regulatory, and commercial readiness activities to ensure we are well-positioned to bring this therapy to patients as quickly as possible, if approved. With our talented team and the potential to add up to an additional $146 million upon exercise of cash-exercisable warrants issued in our December 2025 financing, we believe LeonaBio is well-positioned to deliver on multiple value-creating milestones in the years ahead,” added Dr. Litton.</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Clinical Development &amp; Pipeline Programs</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Lasofoxifene</w:t>
      </w:r>
      <w:r>
        <w:rPr>
          <w:rFonts w:ascii="Times New Roman" w:hAnsi="Times New Roman"/>
          <w:color w:val="000000"/>
          <w:sz w:val="20"/>
        </w:rPr>
        <w:t xml:space="preserve"> – </w:t>
      </w:r>
      <w:r>
        <w:rPr>
          <w:rFonts w:ascii="sans-serif" w:hAnsi="sans-serif"/>
          <w:color w:val="000000"/>
          <w:sz w:val="22"/>
        </w:rPr>
        <w:t>A third generation novel, nonsteroidal selective estrogen receptor modulator (SERM) with a unique binding profile, designed to confer potent activity against both wild-type and mutant estrogen receptors, including the clinically significant ESR1 mutations commonly associated with resistance to endocrine therapy in metastatic breast cancer.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In December 2025, LeonaBio acquired an exclusive global license (excluding Asia and certain countries in the Middle East) from Sermonix Pharmaceuticals, Inc. for rights to develop and commercialize lasofoxifene.</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color w:val="000000"/>
          <w:sz w:val="22"/>
        </w:rPr>
        <w:t>Lasofoxifene is being advanced in ELAINE-3, a Phase 3 clinical trial (</w:t>
      </w:r>
      <w:r>
        <w:rPr>
          <w:rFonts w:ascii="sans-serif" w:hAnsi="sans-serif"/>
          <w:color w:val="467886"/>
          <w:sz w:val="22"/>
          <w:u w:val="single"/>
        </w:rPr>
        <w:t>NCT05696626</w:t>
      </w:r>
      <w:r>
        <w:rPr>
          <w:rFonts w:ascii="sans-serif" w:hAnsi="sans-serif"/>
          <w:color w:val="000000"/>
          <w:sz w:val="22"/>
        </w:rPr>
        <w:t xml:space="preserve">), in combination with abemaciclib, a CDK4/6 inhibitor, as a targeted therapy for estrogen receptor-positive (ER+), HER2-negative, ESR1-mutated metastatic breast cancer, following progression on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pPr>
      <w:r>
        <w:rPr>
          <w:rFonts w:ascii="sans-serif" w:hAnsi="sans-serif"/>
          <w:color w:val="000000"/>
          <w:sz w:val="22"/>
        </w:rPr>
        <w:t>aromatase inhibitors and CDK4/6 inhibitors. The primary endpoint of the study is a statistically significant improvement in progression free survival (PFS), as determined by blinded, independent central review (BICR). ELAINE-3 aims to establish a new standard of care for this genetically defined patient group with limited treatment options.</w:t>
      </w:r>
      <w:r>
        <w:rPr>
          <w:color w:val="00000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The Company expects to complete enrollment of ~600 participants in the Phase 3 ELAINE-3 clinical trial in the fourth quarter of 2026 and to have topline data in the second half of 2027.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Lasofoxifene was previously evaluated in two Phase 2 studies in patients with ER+, HER2-negative locally advanced or metastatic breast cancer expressing an ESR1 mutation, ELAINE-1 and ELAINE-2.</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sans-serif" w:hAnsi="sans-serif"/>
          <w:color w:val="000000"/>
          <w:sz w:val="22"/>
        </w:rPr>
      </w:pPr>
      <w:r>
        <w:rPr>
          <w:rFonts w:ascii="sans-serif" w:hAnsi="sans-serif"/>
          <w:color w:val="000000"/>
          <w:sz w:val="22"/>
        </w:rPr>
        <w:t>ELAINE-1, an open-label, randomized trial comparing lasofoxifene to fulvestrant, showed improved outcomes for lasofoxifene as a potential monotherapy. Although the trial was not powered, results included longer median progression-free survival (5.6 vs. 3.7 months), higher objective response rates (13.3% vs. 2.9%) and a durable complete response lasting more than 2.5 years. The treatment was well-tolerated with patients reporting quality-of-life benefits.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 xml:space="preserve">ELAINE-2, an open-label study evaluating lasofoxifene in combination with abemaciclib, demonstrated clinical benefits in heavily pretreated patients, with a median progression-free survival of approximately 13 months, an objective response rate of 56% and a clinical benefit rate of 65.5%. The combination was generally well-tolerated with most adverse events being low grade. </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color w:val="000000"/>
          <w:sz w:val="22"/>
        </w:rPr>
        <w:t xml:space="preserve">In April 2026, LeonaBio hosted a virtual Key Opinion Leader </w:t>
      </w:r>
      <w:r>
        <w:rPr>
          <w:rFonts w:ascii="sans-serif" w:hAnsi="sans-serif"/>
          <w:color w:val="467886"/>
          <w:sz w:val="22"/>
          <w:u w:val="single"/>
        </w:rPr>
        <w:t>event</w:t>
      </w:r>
      <w:r>
        <w:rPr>
          <w:color w:val="000000"/>
        </w:rPr>
        <w:t xml:space="preserve"> </w:t>
      </w:r>
      <w:r>
        <w:rPr>
          <w:rFonts w:ascii="sans-serif" w:hAnsi="sans-serif"/>
          <w:color w:val="000000"/>
          <w:sz w:val="22"/>
        </w:rPr>
        <w:t xml:space="preserve">with two leading physicians in the breast cancer field to discuss the current and evolving treatment landscape in metastatic breast cancer and the potential for lasofoxifene to transform the standard of care for patients with treatment-resistant ER+, HER2-negative, ESR1-mutated metastatic breast cancer.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jc w:val="left"/>
        <w:rPr/>
      </w:pPr>
      <w:r>
        <w:rPr>
          <w:rFonts w:ascii="sans-serif" w:hAnsi="sans-serif"/>
          <w:color w:val="000000"/>
          <w:sz w:val="22"/>
        </w:rPr>
        <w:t xml:space="preserve">The event titled, </w:t>
      </w:r>
      <w:r>
        <w:rPr>
          <w:color w:val="000000"/>
        </w:rPr>
        <w:t>“</w:t>
      </w:r>
      <w:r>
        <w:rPr>
          <w:rFonts w:ascii="sans-serif" w:hAnsi="sans-serif"/>
          <w:i/>
          <w:color w:val="000000"/>
          <w:sz w:val="22"/>
        </w:rPr>
        <w:t>Modulation and Combination: the Potential for Lasofoxifene to Transform the Standard-of-Care in Metastatic Breast Cancer,”</w:t>
      </w:r>
      <w:r>
        <w:rPr>
          <w:color w:val="000000"/>
        </w:rPr>
        <w:t xml:space="preserve"> </w:t>
      </w:r>
      <w:r>
        <w:rPr>
          <w:rFonts w:ascii="sans-serif" w:hAnsi="sans-serif"/>
          <w:color w:val="000000"/>
          <w:sz w:val="22"/>
        </w:rPr>
        <w:t xml:space="preserve">featured a discussion with David Portman, M.D., Chief Executive Officer of Sermonix Pharmaceuticals and an oncology consultant to LeonaBio, along with two physician experts in the breast cancer field. A replay of the event is available on the LeonaBio website under “Events &amp; Presentations” in the “Investor Relations” section </w:t>
      </w:r>
      <w:r>
        <w:rPr>
          <w:rFonts w:ascii="sans-serif" w:hAnsi="sans-serif"/>
          <w:color w:val="467886"/>
          <w:sz w:val="22"/>
          <w:u w:val="single"/>
        </w:rPr>
        <w:t>here</w:t>
      </w:r>
      <w:r>
        <w:rPr>
          <w:rFonts w:ascii="sans-serif" w:hAnsi="sans-serif"/>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Brelgometon (ATH-1105)</w:t>
      </w:r>
      <w:r>
        <w:rPr>
          <w:rFonts w:ascii="Times New Roman" w:hAnsi="Times New Roman"/>
          <w:color w:val="000000"/>
          <w:sz w:val="20"/>
        </w:rPr>
        <w:t xml:space="preserve"> – </w:t>
      </w:r>
      <w:r>
        <w:rPr>
          <w:rFonts w:ascii="sans-serif" w:hAnsi="sans-serif"/>
          <w:color w:val="000000"/>
          <w:sz w:val="22"/>
        </w:rPr>
        <w:t>A novel, orally available, brain-penetrant, next-generation small molecule drug candidate designed to positively modulate the neurotrophic HGF system for potential treatment of neurodegenerative diseases, including amyotrophic lateral sclerosis (ALS), Alzheimer’s disease, and Parkinson’s disease. Brelgometon is currently in clinical development for the potential treatment of ALS.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LeonaBio’s first-in-human Phase 1 double-blind, placebo-controlled clinical trial (NCT06432647) enrolled 80 healthy volunteers to evaluate single and multiple oral ascending doses of brelgometon, demonstrating a favorable safety and tolerability profile as well as dose-proportional pharmacokinetics and CNS penetration and supporting its advancement into a Phase 2 proof-of-concept trial.</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The Company expects to provide an update on the timing of a proposed Phase 2 proof-of-concept clinical trial following completion of enrollment of the Phase 3 ELAINE-3 clinical trial as it continues to focus on its lasofoxifene program.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Corporate Updates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LeonaBio announced the appointment of Fred Callori, J.D., Natalie Holles and Peter B. Silverman, J.D. to its Board of Directors, effective as of May 5, 2026. The company also announced that John Fluke, Jr., who served on the Board since 2014, retired effective May 4, 2026.</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Fred Callori, J.D., has served as a Partner and Managing Director at Perceptive Advisors LLC, an investment firm that specializes in investing in biotechnology stocks, since January 2018.</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Natalie Holles has served as the Chief Executive Officer and member of the Board of Directors of Aura Biosciences, a clinical-stage biotechnology company, since April 2026. Ms. Holles served as the Chief Executive Officer of Third Harmonic Bio, a biopharmaceutical company, from August 2021 to December 2025.</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 xml:space="preserve">Peter B. Silverman, J.D., served as Chief Operating Officer of Merus N.V. (formerly, Nasdaq: MRUS), a biotechnology company, from January 2023 until its acquisition by Genmab A/S in December 2025, and prior to that, Mr. Silverman held several leadership roles at Merus. Mr. Silverman has served as a member of the board of directors of Kinaset Therapeutics, a biopharmaceutical company, since January 2026.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Financial Results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 xml:space="preserve">Cash Position. </w:t>
      </w:r>
      <w:r>
        <w:rPr>
          <w:rFonts w:ascii="sans-serif" w:hAnsi="sans-serif"/>
          <w:color w:val="000000"/>
          <w:sz w:val="22"/>
        </w:rPr>
        <w:t>Cash, cash equivalents and investments were $51.1</w:t>
      </w:r>
      <w:r>
        <w:rPr>
          <w:color w:val="FF0000"/>
        </w:rPr>
        <w:t xml:space="preserve"> </w:t>
      </w:r>
      <w:r>
        <w:rPr>
          <w:rFonts w:ascii="sans-serif" w:hAnsi="sans-serif"/>
          <w:color w:val="000000"/>
          <w:sz w:val="22"/>
        </w:rPr>
        <w:t>million as of June 30, 2026, compared to $88.3 million as of December 31, 2025. Net cash used in operations was $37.9</w:t>
      </w:r>
      <w:r>
        <w:rPr>
          <w:color w:val="FF0000"/>
        </w:rPr>
        <w:t xml:space="preserve"> </w:t>
      </w:r>
      <w:r>
        <w:rPr>
          <w:rFonts w:ascii="sans-serif" w:hAnsi="sans-serif"/>
          <w:color w:val="000000"/>
          <w:sz w:val="22"/>
        </w:rPr>
        <w:t xml:space="preserve">million for the quarter ended June 30, 2026, compared to $21.7 million for the quarter ended June 30, 2025. In conjunction with the December 2025 Sermonix license agreement, LeonaBio announced a $90 million private placement financing of common stock and warrants, with the Series A warrants providing, if exercised in full, up to an additional $146 million to support development through key clinical and regulatory milestones. </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Research and Development (R&amp;D) Expenses.</w:t>
      </w:r>
      <w:r>
        <w:rPr>
          <w:color w:val="000000"/>
        </w:rPr>
        <w:t xml:space="preserve"> </w:t>
      </w:r>
      <w:r>
        <w:rPr>
          <w:rFonts w:ascii="sans-serif" w:hAnsi="sans-serif"/>
          <w:color w:val="000000"/>
          <w:sz w:val="22"/>
        </w:rPr>
        <w:t>R&amp;D expenses were $12.9</w:t>
      </w:r>
      <w:r>
        <w:rPr>
          <w:color w:val="FF0000"/>
        </w:rPr>
        <w:t xml:space="preserve"> </w:t>
      </w:r>
      <w:r>
        <w:rPr>
          <w:rFonts w:ascii="sans-serif" w:hAnsi="sans-serif"/>
          <w:color w:val="000000"/>
          <w:sz w:val="22"/>
        </w:rPr>
        <w:t xml:space="preserve">million for the quarter ended June 30, 2026, compared to $3.7 million for the quarter ended June 30, 2025. The increase was driven primarily by clinical trial spend related to the ELAINE-3 trial for lasofoxifene. </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General and Administrative (G&amp;A) Expenses.</w:t>
      </w:r>
      <w:r>
        <w:rPr>
          <w:color w:val="000000"/>
        </w:rPr>
        <w:t xml:space="preserve"> </w:t>
      </w:r>
      <w:r>
        <w:rPr>
          <w:rFonts w:ascii="sans-serif" w:hAnsi="sans-serif"/>
          <w:color w:val="000000"/>
          <w:sz w:val="22"/>
        </w:rPr>
        <w:t xml:space="preserve">G&amp;A expenses were $6.6 million for the quarter ended June 30, 2026, compared to $3.6 million for the quarter ended June 30, 2025. The increase was driven primarily by personnel-related expenses, including stock-based compensation and professional service fees. </w:t>
      </w:r>
    </w:p>
    <w:p>
      <w:pPr>
        <w:pStyle w:val="TextBody"/>
        <w:bidi w:val="0"/>
        <w:spacing w:before="0" w:after="0"/>
        <w:jc w:val="left"/>
        <w:rPr>
          <w:color w:val="000000"/>
        </w:rPr>
      </w:pPr>
      <w:r>
        <w:rPr>
          <w:color w:val="000000"/>
        </w:rPr>
        <w:t>•</w:t>
      </w:r>
    </w:p>
    <w:p>
      <w:pPr>
        <w:pStyle w:val="TextBody"/>
        <w:bidi w:val="0"/>
        <w:jc w:val="left"/>
        <w:rPr/>
      </w:pPr>
      <w:r>
        <w:rPr>
          <w:rFonts w:cs="sans-serif"/>
          <w:color w:val="000000"/>
          <w:szCs w:val="22"/>
        </w:rPr>
        <w:t>﻿</w:t>
      </w:r>
      <w:r>
        <w:rPr>
          <w:rFonts w:ascii="sans-serif" w:hAnsi="sans-serif"/>
          <w:b/>
          <w:color w:val="000000"/>
          <w:sz w:val="22"/>
        </w:rPr>
        <w:t>Net Loss.</w:t>
      </w:r>
      <w:r>
        <w:rPr>
          <w:color w:val="000000"/>
        </w:rPr>
        <w:t xml:space="preserve"> </w:t>
      </w:r>
      <w:r>
        <w:rPr>
          <w:rFonts w:ascii="sans-serif" w:hAnsi="sans-serif"/>
          <w:color w:val="000000"/>
          <w:sz w:val="22"/>
        </w:rPr>
        <w:t>Net loss was $19.0 million, or $0.80 per share, for the quarter ended June 30, 2026, compared to a net loss of $7.0 million, or $1.78 per share, for the quarter ended June 30, 2025.</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About LeonaBio</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LeonaBio, headquartered in the Seattle, Washington area, is a clinical-stage biopharmaceutical company dedicated to the development of novel therapeutics for diseases with high unmet medical needs, including treatment-resistant metastatic breast cancer and amyotrophic lateral sclerosis (ALS), with the goal of improving patients’ lives. Our lead drug candidates, lasofoxifene and brelgometon (ATH-1105), are novel, small molecule therapies with the potential to address devastating diseases where current treatment options are limited or ineffective. With a strong commitment to scientific excellence and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patient-centered innovation, we are dedicated to developing meaningful new therapies for those who need them most.</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xml:space="preserve">For more information, visit </w:t>
      </w:r>
      <w:r>
        <w:rPr>
          <w:rFonts w:ascii="sans-serif" w:hAnsi="sans-serif"/>
          <w:color w:val="467886"/>
          <w:sz w:val="22"/>
          <w:u w:val="single"/>
        </w:rPr>
        <w:t>www.leonabio.com</w:t>
      </w:r>
      <w:r>
        <w:rPr>
          <w:rFonts w:ascii="sans-serif" w:hAnsi="sans-serif"/>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This communication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the beneficial characteristics, safety and efficacy of LeonaBio’s drug candidates; the potential of LeonaBio to complete the Phase 3 ELAINE-3 clinical trial for lasofoxifene and to meet the trial endpoints, potential of ELAINE-3 to serve as a registrational trial, and any subsequent clinical trials to show the clinical benefits of lasofoxifene to the satisfaction of the FDA to support its regulatory approval; the potential of any subsequent clinical trials to show the beneficial characteristics, safety and efficacy of brelgometon; LeonaBio’s drug candidates as potential treatments for metastatic breast cancer, amyotrophic lateral sclerosis and other diseases; LeonaBio’s future development plans and the timing thereof; the potential learnings from preclinical studies and other nonclinical data and their ability to inform and improve future clinical development plans; the markets for LeonaBio’s drug candidates, if approved for commercial use, and LeonaBio’s ability to serve those markets; anticipated development milestone timelines, such as the initiation of clinical trials and the timing of data releases, and LeonaBio’s ability to meet such timelines; LeonaBio’s ability to obtain and maintain regulatory approval of its drug candidates in the United States and other jurisdictions and the timing thereof, and any related restrictions, limitations or warnings in the label of any approved drug candidate; LeonaBio’s ability to commercialize any approved products; and the sufficiency of LeonaBio’s capital resources to advance both its oncology and neurodegeneration programs. Forward-looking statements generally include statements that are predictive in nature and depend upon or refer to future events or conditions, and include words such as “may,” “will,” “should,” “on track,” “would,” “expect,” “plan,” “believe,” “intend,” “pursue,” “continue,” “suggest,” “potential,” “target” and similar expressions.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the possible failure to realize certain anticipated benefits of the license relating to lasofoxifene and the recent private placement financing, including with respect to future financial and operating results; the data from preclinical and clinical trials may not support the safety, efficacy and tolerability of LeonaBio’s drug candidates; development of drug candidates may cease or be delayed; regulatory authorities could object to protocols, amendments and other submissions; future potential regulatory milestones for drug candidates, including those related to current and planned clinical studies, may be insufficient to support regulatory submissions or approval; whether LeonaBio’s trials are sufficiently powered to meet the planned endpoints; LeonaBio may not be able to recruit sufficient patients for its clinical trials; the outcome of legal proceedings that may in the future be instituted against LeonaBio, its directors and officers; possible negative interactions of LeonaBio’s drug candidates with other treatments; FDA regulatory delays and uncertainty and new policies, including executive orders, changes in the leadership of federal agencies such as the FDA and SEC, staff layoffs, budget cuts to agency programs and research and changes in drug pricing controls; LeonaBio’s assumptions regarding its financial condition and the sufficiency of its cash, cash equivalents and investments to fund its planned operations may be incorrect; adverse conditions in the general domestic and global economic markets, including as a result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of tariffs; the impact of competition; the impact of drug candidate development and clinical activities on operating expenses; the impact of new or changing laws and regulations; as well as the other risks detailed in LeonaBio’s filings with the SEC from time to time. These forward-looking statements speak only as of the date hereof and LeonaBio undertakes no obligation to update forward-looking statements. LeonaBio may not actually achieve the plans, intentions or expectations disclosed in its forward-looking statements, and you should not place undue reliance on the forward-looking statements.</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Investor &amp; Media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Julie Rathbun</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LeonaBio</w:t>
      </w:r>
    </w:p>
    <w:p>
      <w:pPr>
        <w:pStyle w:val="TextBody"/>
        <w:bidi w:val="0"/>
        <w:jc w:val="left"/>
        <w:rPr>
          <w:rFonts w:ascii="Aptos;sans-serif" w:hAnsi="Aptos;sans-serif"/>
          <w:sz w:val="22"/>
        </w:rPr>
      </w:pPr>
      <w:r>
        <w:rPr>
          <w:rFonts w:ascii="Aptos;sans-serif" w:hAnsi="Aptos;sans-serif"/>
          <w:sz w:val="22"/>
        </w:rPr>
        <w:t>julie.rathbun@leonabio.com</w:t>
      </w:r>
    </w:p>
    <w:p>
      <w:pPr>
        <w:pStyle w:val="TextBody"/>
        <w:bidi w:val="0"/>
        <w:jc w:val="left"/>
        <w:rPr>
          <w:rFonts w:ascii="sans-serif" w:hAnsi="sans-serif"/>
          <w:color w:val="000000"/>
          <w:sz w:val="22"/>
        </w:rPr>
      </w:pPr>
      <w:r>
        <w:rPr>
          <w:rFonts w:ascii="sans-serif" w:hAnsi="sans-serif"/>
          <w:color w:val="000000"/>
          <w:sz w:val="22"/>
        </w:rPr>
        <w:t>206-769-9219</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LeonaBio, Inc.</w:t>
      </w:r>
    </w:p>
    <w:p>
      <w:pPr>
        <w:pStyle w:val="TextBody"/>
        <w:bidi w:val="0"/>
        <w:jc w:val="center"/>
        <w:rPr>
          <w:rFonts w:ascii="Arial" w:hAnsi="Arial"/>
          <w:b/>
          <w:color w:val="000000"/>
          <w:sz w:val="20"/>
        </w:rPr>
      </w:pPr>
      <w:r>
        <w:rPr>
          <w:rFonts w:ascii="Arial" w:hAnsi="Arial"/>
          <w:b/>
          <w:color w:val="000000"/>
          <w:sz w:val="20"/>
        </w:rPr>
        <w:t>Condensed Consolidated Balance Sheets</w:t>
      </w:r>
    </w:p>
    <w:p>
      <w:pPr>
        <w:pStyle w:val="TextBody"/>
        <w:bidi w:val="0"/>
        <w:jc w:val="center"/>
        <w:rPr>
          <w:rFonts w:ascii="Arial" w:hAnsi="Arial"/>
          <w:color w:val="000000"/>
          <w:sz w:val="20"/>
        </w:rPr>
      </w:pPr>
      <w:r>
        <w:rPr>
          <w:rFonts w:ascii="Arial" w:hAnsi="Arial"/>
          <w:color w:val="000000"/>
          <w:sz w:val="20"/>
        </w:rPr>
        <w:t>(Amounts in thousands)</w:t>
      </w:r>
    </w:p>
    <w:p>
      <w:pPr>
        <w:pStyle w:val="TextBody"/>
        <w:bidi w:val="0"/>
        <w:jc w:val="center"/>
        <w:rPr/>
      </w:pPr>
      <w:r>
        <w:rPr/>
        <w:t> </w:t>
      </w:r>
    </w:p>
    <w:tbl>
      <w:tblPr>
        <w:tblW w:w="6360" w:type="dxa"/>
        <w:jc w:val="left"/>
        <w:tblInd w:w="0" w:type="dxa"/>
        <w:tblLayout w:type="fixed"/>
        <w:tblCellMar>
          <w:top w:w="28" w:type="dxa"/>
          <w:left w:w="28" w:type="dxa"/>
          <w:bottom w:w="28" w:type="dxa"/>
          <w:right w:w="28" w:type="dxa"/>
        </w:tblCellMar>
      </w:tblPr>
      <w:tblGrid>
        <w:gridCol w:w="3526"/>
        <w:gridCol w:w="146"/>
        <w:gridCol w:w="242"/>
        <w:gridCol w:w="793"/>
        <w:gridCol w:w="146"/>
        <w:gridCol w:w="146"/>
        <w:gridCol w:w="273"/>
        <w:gridCol w:w="897"/>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D1F3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D1F3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Short-term investments</w:t>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tcBorders/>
            <w:shd w:fill="D1F3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18,744</w:t>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shd w:fill="D1F3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19,055</w:t>
            </w:r>
          </w:p>
        </w:tc>
        <w:tc>
          <w:tcPr>
            <w:tcW w:w="191"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 short-term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D1F3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 long-term assets</w:t>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bottom w:val="single" w:sz="2" w:space="0" w:color="000000"/>
            </w:tcBorders>
            <w:shd w:fill="D1F3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3" w:type="dxa"/>
            <w:tcBorders>
              <w:bottom w:val="single" w:sz="2" w:space="0" w:color="000000"/>
            </w:tcBorders>
            <w:shd w:fill="D1F3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2,086</w:t>
            </w:r>
          </w:p>
        </w:tc>
        <w:tc>
          <w:tcPr>
            <w:tcW w:w="146" w:type="dxa"/>
            <w:tcBorders>
              <w:bottom w:val="single" w:sz="2" w:space="0" w:color="000000"/>
            </w:tcBorders>
            <w:shd w:fill="D1F3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bottom w:val="single" w:sz="2" w:space="0" w:color="000000"/>
            </w:tcBorders>
            <w:shd w:fill="D1F3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7" w:type="dxa"/>
            <w:tcBorders>
              <w:bottom w:val="single" w:sz="2" w:space="0" w:color="000000"/>
            </w:tcBorders>
            <w:shd w:fill="D1F3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2,693</w:t>
            </w:r>
            <w:r>
              <w:rPr>
                <w:rFonts w:ascii="Times New Roman" w:hAnsi="Times New Roman"/>
                <w:color w:val="000000"/>
                <w:sz w:val="20"/>
              </w:rPr>
              <w:t xml:space="preserve"> </w:t>
            </w:r>
          </w:p>
        </w:tc>
        <w:tc>
          <w:tcPr>
            <w:tcW w:w="191" w:type="dxa"/>
            <w:tcBorders>
              <w:bottom w:val="single" w:sz="2" w:space="0" w:color="000000"/>
            </w:tcBorders>
            <w:shd w:fill="D1F3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3"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59,894</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92,151</w:t>
            </w:r>
          </w:p>
        </w:tc>
        <w:tc>
          <w:tcPr>
            <w:tcW w:w="191"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D1F3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7,817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10,015</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D1F3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Sermonix pre-funded warrant</w:t>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D1F3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D1F3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D1F3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D1F3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37,488</w:t>
            </w:r>
          </w:p>
        </w:tc>
        <w:tc>
          <w:tcPr>
            <w:tcW w:w="191" w:type="dxa"/>
            <w:tcBorders/>
            <w:shd w:fill="D1F3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Milestone liability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15,116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D1F3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Long-term liabilities</w:t>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tcBorders>
              <w:bottom w:val="single" w:sz="4" w:space="0" w:color="000000"/>
            </w:tcBorders>
            <w:shd w:fill="D1F3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1,120</w:t>
            </w:r>
            <w:r>
              <w:rPr>
                <w:rFonts w:ascii="Times New Roman" w:hAnsi="Times New Roman"/>
                <w:color w:val="000000"/>
                <w:sz w:val="20"/>
              </w:rPr>
              <w:t xml:space="preserve"> </w:t>
            </w:r>
          </w:p>
        </w:tc>
        <w:tc>
          <w:tcPr>
            <w:tcW w:w="146" w:type="dxa"/>
            <w:tcBorders>
              <w:bottom w:val="single" w:sz="4" w:space="0" w:color="000000"/>
            </w:tcBorders>
            <w:shd w:fill="D1F3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bottom w:val="single" w:sz="4" w:space="0" w:color="000000"/>
            </w:tcBorders>
            <w:shd w:fill="D1F3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1,742</w:t>
            </w:r>
            <w:r>
              <w:rPr>
                <w:rFonts w:ascii="Times New Roman" w:hAnsi="Times New Roman"/>
                <w:color w:val="000000"/>
                <w:sz w:val="20"/>
              </w:rPr>
              <w:t xml:space="preserve"> </w:t>
            </w:r>
          </w:p>
        </w:tc>
        <w:tc>
          <w:tcPr>
            <w:tcW w:w="191" w:type="dxa"/>
            <w:tcBorders>
              <w:bottom w:val="single" w:sz="4" w:space="0" w:color="000000"/>
            </w:tcBorders>
            <w:shd w:fill="D1F3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23,299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64,361</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D1F3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bottom w:val="single" w:sz="2" w:space="0" w:color="000000"/>
            </w:tcBorders>
            <w:shd w:fill="D1F3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3" w:type="dxa"/>
            <w:tcBorders>
              <w:bottom w:val="single" w:sz="2" w:space="0" w:color="000000"/>
            </w:tcBorders>
            <w:shd w:fill="D1F3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33,595</w:t>
            </w:r>
          </w:p>
        </w:tc>
        <w:tc>
          <w:tcPr>
            <w:tcW w:w="146" w:type="dxa"/>
            <w:tcBorders>
              <w:bottom w:val="single" w:sz="2" w:space="0" w:color="000000"/>
            </w:tcBorders>
            <w:shd w:fill="D1F3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bottom w:val="single" w:sz="2" w:space="0" w:color="000000"/>
            </w:tcBorders>
            <w:shd w:fill="D1F3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7" w:type="dxa"/>
            <w:tcBorders>
              <w:bottom w:val="single" w:sz="2" w:space="0" w:color="000000"/>
            </w:tcBorders>
            <w:shd w:fill="D1F3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27,790</w:t>
            </w:r>
          </w:p>
        </w:tc>
        <w:tc>
          <w:tcPr>
            <w:tcW w:w="191" w:type="dxa"/>
            <w:tcBorders>
              <w:bottom w:val="single" w:sz="2" w:space="0" w:color="000000"/>
            </w:tcBorders>
            <w:shd w:fill="D1F3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and 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3"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56,894</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92,151</w:t>
            </w:r>
          </w:p>
        </w:tc>
        <w:tc>
          <w:tcPr>
            <w:tcW w:w="191"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LeonaBio, Inc.</w:t>
      </w:r>
    </w:p>
    <w:p>
      <w:pPr>
        <w:pStyle w:val="TextBody"/>
        <w:bidi w:val="0"/>
        <w:jc w:val="center"/>
        <w:rPr>
          <w:rFonts w:ascii="Arial" w:hAnsi="Arial"/>
          <w:b/>
          <w:color w:val="000000"/>
          <w:sz w:val="20"/>
        </w:rPr>
      </w:pPr>
      <w:r>
        <w:rPr>
          <w:rFonts w:ascii="Arial" w:hAnsi="Arial"/>
          <w:b/>
          <w:color w:val="000000"/>
          <w:sz w:val="20"/>
        </w:rPr>
        <w:t>Condensed Consolidated Statements of Operations and Comprehensive Loss</w:t>
      </w:r>
    </w:p>
    <w:p>
      <w:pPr>
        <w:pStyle w:val="TextBody"/>
        <w:bidi w:val="0"/>
        <w:jc w:val="center"/>
        <w:rPr>
          <w:rFonts w:ascii="Arial" w:hAnsi="Arial"/>
          <w:color w:val="000000"/>
          <w:sz w:val="20"/>
        </w:rPr>
      </w:pPr>
      <w:bookmarkStart w:id="5" w:name="range_a1_e16"/>
      <w:bookmarkEnd w:id="5"/>
      <w:r>
        <w:rPr>
          <w:rFonts w:ascii="Arial" w:hAnsi="Arial"/>
          <w:color w:val="000000"/>
          <w:sz w:val="20"/>
        </w:rPr>
        <w:t>(Amounts in thousands, except share and per share amounts)</w:t>
      </w:r>
    </w:p>
    <w:p>
      <w:pPr>
        <w:pStyle w:val="TextBody"/>
        <w:bidi w:val="0"/>
        <w:jc w:val="center"/>
        <w:rPr>
          <w:rFonts w:ascii="Arial" w:hAnsi="Arial"/>
          <w:color w:val="000000"/>
          <w:sz w:val="20"/>
        </w:rPr>
      </w:pPr>
      <w:r>
        <w:rPr>
          <w:rFonts w:ascii="Arial" w:hAnsi="Arial"/>
          <w:color w:val="000000"/>
          <w:sz w:val="20"/>
        </w:rPr>
        <w:t>(Unaudited)</w:t>
      </w:r>
    </w:p>
    <w:p>
      <w:pPr>
        <w:pStyle w:val="TextBody"/>
        <w:bidi w:val="0"/>
        <w:jc w:val="center"/>
        <w:rPr/>
      </w:pPr>
      <w:r>
        <w:rPr/>
        <w:t> </w:t>
      </w:r>
    </w:p>
    <w:tbl>
      <w:tblPr>
        <w:tblW w:w="9453" w:type="dxa"/>
        <w:jc w:val="left"/>
        <w:tblInd w:w="0" w:type="dxa"/>
        <w:tblLayout w:type="fixed"/>
        <w:tblCellMar>
          <w:top w:w="28" w:type="dxa"/>
          <w:left w:w="28" w:type="dxa"/>
          <w:bottom w:w="28" w:type="dxa"/>
          <w:right w:w="28" w:type="dxa"/>
        </w:tblCellMar>
      </w:tblPr>
      <w:tblGrid>
        <w:gridCol w:w="5116"/>
        <w:gridCol w:w="360"/>
        <w:gridCol w:w="360"/>
        <w:gridCol w:w="1066"/>
        <w:gridCol w:w="360"/>
        <w:gridCol w:w="360"/>
        <w:gridCol w:w="360"/>
        <w:gridCol w:w="1006"/>
        <w:gridCol w:w="465"/>
      </w:tblGrid>
      <w:tr>
        <w:trPr/>
        <w:tc>
          <w:tcPr>
            <w:tcW w:w="511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2"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46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3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6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tcBorders/>
            <w:shd w:fill="CDF3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360"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DF3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rFonts w:ascii="Arial" w:hAnsi="Arial"/>
                <w:color w:val="000000"/>
                <w:sz w:val="20"/>
              </w:rPr>
            </w:pPr>
            <w:r>
              <w:rPr>
                <w:rFonts w:ascii="Arial" w:hAnsi="Arial"/>
                <w:color w:val="000000"/>
                <w:sz w:val="20"/>
              </w:rPr>
              <w:t>Research and development</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12,702</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3,661</w:t>
            </w:r>
          </w:p>
        </w:tc>
        <w:tc>
          <w:tcPr>
            <w:tcW w:w="46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5116" w:type="dxa"/>
            <w:tcBorders/>
            <w:shd w:fill="CDF3FF" w:val="clear"/>
            <w:tcMar>
              <w:top w:w="0" w:type="dxa"/>
              <w:left w:w="0" w:type="dxa"/>
              <w:bottom w:w="0" w:type="dxa"/>
              <w:right w:w="0" w:type="dxa"/>
            </w:tcMar>
            <w:vAlign w:val="center"/>
          </w:tcPr>
          <w:p>
            <w:pPr>
              <w:pStyle w:val="TableContents"/>
              <w:bidi w:val="0"/>
              <w:spacing w:before="0" w:after="283"/>
              <w:ind w:left="0" w:right="0" w:firstLine="274"/>
              <w:jc w:val="left"/>
              <w:rPr>
                <w:rFonts w:ascii="Arial" w:hAnsi="Arial"/>
                <w:color w:val="000000"/>
                <w:sz w:val="20"/>
              </w:rPr>
            </w:pPr>
            <w:r>
              <w:rPr>
                <w:rFonts w:ascii="Arial" w:hAnsi="Arial"/>
                <w:color w:val="000000"/>
                <w:sz w:val="20"/>
              </w:rPr>
              <w:t>Milestone liability change in fair value</w:t>
            </w:r>
          </w:p>
        </w:tc>
        <w:tc>
          <w:tcPr>
            <w:tcW w:w="360" w:type="dxa"/>
            <w:tcBorders/>
            <w:shd w:fill="CDF3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DF3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DF3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w:t>
            </w:r>
          </w:p>
        </w:tc>
        <w:tc>
          <w:tcPr>
            <w:tcW w:w="360" w:type="dxa"/>
            <w:tcBorders/>
            <w:shd w:fill="CDF3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DF3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DF3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DF3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p>
        </w:tc>
        <w:tc>
          <w:tcPr>
            <w:tcW w:w="465" w:type="dxa"/>
            <w:tcBorders/>
            <w:shd w:fill="CDF3FF" w:val="clear"/>
            <w:tcMar>
              <w:top w:w="0" w:type="dxa"/>
              <w:left w:w="0" w:type="dxa"/>
              <w:bottom w:w="0" w:type="dxa"/>
              <w:right w:w="0" w:type="dxa"/>
            </w:tcMar>
            <w:vAlign w:val="center"/>
          </w:tcPr>
          <w:p>
            <w:pPr>
              <w:pStyle w:val="TableContents"/>
              <w:bidi w:val="0"/>
              <w:spacing w:before="0" w:after="283"/>
              <w:ind w:left="0" w:right="0" w:firstLine="274"/>
              <w:jc w:val="center"/>
              <w:rPr/>
            </w:pPr>
            <w:r>
              <w:rPr/>
              <w:t> </w:t>
            </w:r>
          </w:p>
        </w:tc>
      </w:tr>
      <w:tr>
        <w:trPr/>
        <w:tc>
          <w:tcPr>
            <w:tcW w:w="5116" w:type="dxa"/>
            <w:tcBorders/>
            <w:tcMar>
              <w:top w:w="0" w:type="dxa"/>
              <w:left w:w="0" w:type="dxa"/>
              <w:bottom w:w="0" w:type="dxa"/>
              <w:right w:w="0" w:type="dxa"/>
            </w:tcMar>
            <w:vAlign w:val="center"/>
          </w:tcPr>
          <w:p>
            <w:pPr>
              <w:pStyle w:val="TableContents"/>
              <w:bidi w:val="0"/>
              <w:spacing w:before="0" w:after="283"/>
              <w:ind w:left="0" w:right="0" w:firstLine="274"/>
              <w:jc w:val="left"/>
              <w:rPr>
                <w:rFonts w:ascii="Arial" w:hAnsi="Arial"/>
                <w:color w:val="000000"/>
                <w:sz w:val="20"/>
              </w:rPr>
            </w:pPr>
            <w:r>
              <w:rPr>
                <w:rFonts w:ascii="Arial" w:hAnsi="Arial"/>
                <w:color w:val="000000"/>
                <w:sz w:val="20"/>
              </w:rPr>
              <w:t>General and administrative</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6,576</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3,630</w:t>
            </w:r>
          </w:p>
        </w:tc>
        <w:tc>
          <w:tcPr>
            <w:tcW w:w="465"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5116" w:type="dxa"/>
            <w:tcBorders/>
            <w:shd w:fill="CCEEFF" w:val="clear"/>
            <w:tcMar>
              <w:top w:w="0" w:type="dxa"/>
              <w:left w:w="0" w:type="dxa"/>
              <w:bottom w:w="0" w:type="dxa"/>
              <w:right w:w="0" w:type="dxa"/>
            </w:tcMar>
            <w:vAlign w:val="center"/>
          </w:tcPr>
          <w:p>
            <w:pPr>
              <w:pStyle w:val="TableContents"/>
              <w:bidi w:val="0"/>
              <w:spacing w:before="0" w:after="283"/>
              <w:ind w:left="0" w:right="0" w:firstLine="274"/>
              <w:jc w:val="left"/>
              <w:rPr>
                <w:rFonts w:ascii="Arial" w:hAnsi="Arial"/>
                <w:color w:val="000000"/>
                <w:sz w:val="20"/>
              </w:rPr>
            </w:pPr>
            <w:r>
              <w:rPr>
                <w:rFonts w:ascii="Arial" w:hAnsi="Arial"/>
                <w:color w:val="000000"/>
                <w:sz w:val="20"/>
              </w:rPr>
              <w:t>Total operating expenses</w:t>
            </w:r>
          </w:p>
        </w:tc>
        <w:tc>
          <w:tcPr>
            <w:tcW w:w="360" w:type="dxa"/>
            <w:tcBorders/>
            <w:shd w:fill="CCEE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360" w:type="dxa"/>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1066" w:type="dxa"/>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283"/>
              <w:ind w:left="0" w:right="0" w:firstLine="274"/>
              <w:jc w:val="right"/>
              <w:rPr>
                <w:rFonts w:ascii="Arial" w:hAnsi="Arial"/>
                <w:color w:val="000000"/>
                <w:sz w:val="20"/>
              </w:rPr>
            </w:pPr>
            <w:r>
              <w:rPr>
                <w:rFonts w:ascii="Arial" w:hAnsi="Arial"/>
                <w:color w:val="000000"/>
                <w:sz w:val="20"/>
              </w:rPr>
              <w:t>19,453</w:t>
            </w:r>
          </w:p>
        </w:tc>
        <w:tc>
          <w:tcPr>
            <w:tcW w:w="360" w:type="dxa"/>
            <w:tcBorders>
              <w:top w:val="single" w:sz="2" w:space="0" w:color="000000"/>
            </w:tcBorders>
            <w:tcMar>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360" w:type="dxa"/>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1006" w:type="dxa"/>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283"/>
              <w:ind w:left="0" w:right="0" w:firstLine="274"/>
              <w:jc w:val="right"/>
              <w:rPr>
                <w:rFonts w:ascii="Arial" w:hAnsi="Arial"/>
                <w:color w:val="000000"/>
                <w:sz w:val="20"/>
              </w:rPr>
            </w:pPr>
            <w:r>
              <w:rPr>
                <w:rFonts w:ascii="Arial" w:hAnsi="Arial"/>
                <w:color w:val="000000"/>
                <w:sz w:val="20"/>
              </w:rPr>
              <w:t>7,291</w:t>
            </w:r>
          </w:p>
        </w:tc>
        <w:tc>
          <w:tcPr>
            <w:tcW w:w="465" w:type="dxa"/>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(19,453</w:t>
            </w:r>
          </w:p>
        </w:tc>
        <w:tc>
          <w:tcPr>
            <w:tcW w:w="3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(7,291</w:t>
            </w:r>
          </w:p>
        </w:tc>
        <w:tc>
          <w:tcPr>
            <w:tcW w:w="4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Sermonix pre-funded warrant change in fair value</w:t>
            </w:r>
          </w:p>
        </w:tc>
        <w:tc>
          <w:tcPr>
            <w:tcW w:w="360" w:type="dxa"/>
            <w:tcBorders/>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2"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p>
        </w:tc>
        <w:tc>
          <w:tcPr>
            <w:tcW w:w="3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60" w:type="dxa"/>
            <w:tcBorders/>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2"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p>
        </w:tc>
        <w:tc>
          <w:tcPr>
            <w:tcW w:w="465"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DF3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360"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(19,007</w:t>
            </w:r>
          </w:p>
        </w:tc>
        <w:tc>
          <w:tcPr>
            <w:tcW w:w="360"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60"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6"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(6,966</w:t>
            </w:r>
          </w:p>
        </w:tc>
        <w:tc>
          <w:tcPr>
            <w:tcW w:w="465"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Unrealized gain on available-for-sale securities</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2"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3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2"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65"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DF3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 attributable to common stockholders</w:t>
            </w:r>
          </w:p>
        </w:tc>
        <w:tc>
          <w:tcPr>
            <w:tcW w:w="360"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(19,003</w:t>
            </w:r>
          </w:p>
        </w:tc>
        <w:tc>
          <w:tcPr>
            <w:tcW w:w="360"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60"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6"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(6,965</w:t>
            </w:r>
          </w:p>
        </w:tc>
        <w:tc>
          <w:tcPr>
            <w:tcW w:w="465"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Net loss per share attributable to common stockholders,</w:t>
            </w:r>
          </w:p>
          <w:p>
            <w:pPr>
              <w:pStyle w:val="TableContents"/>
              <w:bidi w:val="0"/>
              <w:spacing w:before="0" w:after="283"/>
              <w:jc w:val="left"/>
              <w:rPr>
                <w:color w:val="000000"/>
              </w:rPr>
            </w:pPr>
            <w:r>
              <w:rPr>
                <w:color w:val="000000"/>
              </w:rPr>
              <w:t>   </w:t>
            </w:r>
            <w:r>
              <w:rPr>
                <w:rFonts w:ascii="Arial" w:hAnsi="Arial"/>
                <w:color w:val="000000"/>
                <w:sz w:val="20"/>
              </w:rPr>
              <w:t>basic and diluted</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(0.80</w:t>
            </w:r>
          </w:p>
        </w:tc>
        <w:tc>
          <w:tcPr>
            <w:tcW w:w="360"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w:t>
            </w:r>
          </w:p>
        </w:tc>
        <w:tc>
          <w:tcPr>
            <w:tcW w:w="465"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shd w:fill="CDF3FF" w:val="clear"/>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Weighted-average shares used in computing net loss per</w:t>
            </w:r>
          </w:p>
          <w:p>
            <w:pPr>
              <w:pStyle w:val="TableContents"/>
              <w:bidi w:val="0"/>
              <w:jc w:val="left"/>
              <w:rPr>
                <w:color w:val="000000"/>
              </w:rPr>
            </w:pPr>
            <w:r>
              <w:rPr>
                <w:color w:val="000000"/>
              </w:rPr>
              <w:t>   </w:t>
            </w:r>
            <w:r>
              <w:rPr>
                <w:rFonts w:ascii="Arial" w:hAnsi="Arial"/>
                <w:color w:val="000000"/>
                <w:sz w:val="20"/>
              </w:rPr>
              <w:t>share attributable to common stockholders, basic</w:t>
            </w:r>
          </w:p>
          <w:p>
            <w:pPr>
              <w:pStyle w:val="TableContents"/>
              <w:bidi w:val="0"/>
              <w:spacing w:before="0" w:after="283"/>
              <w:jc w:val="left"/>
              <w:rPr>
                <w:color w:val="000000"/>
              </w:rPr>
            </w:pPr>
            <w:r>
              <w:rPr>
                <w:color w:val="000000"/>
              </w:rPr>
              <w:t>   </w:t>
            </w:r>
            <w:r>
              <w:rPr>
                <w:rFonts w:ascii="Arial" w:hAnsi="Arial"/>
                <w:color w:val="000000"/>
                <w:sz w:val="20"/>
              </w:rPr>
              <w:t>and diluted</w:t>
            </w:r>
          </w:p>
        </w:tc>
        <w:tc>
          <w:tcPr>
            <w:tcW w:w="360"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23,726,211</w:t>
            </w:r>
          </w:p>
        </w:tc>
        <w:tc>
          <w:tcPr>
            <w:tcW w:w="360"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3,909,297</w:t>
            </w:r>
          </w:p>
        </w:tc>
        <w:tc>
          <w:tcPr>
            <w:tcW w:w="465"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sans-serif">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2977</Words>
  <Characters>17582</Characters>
  <CharactersWithSpaces>20522</CharactersWithSpaces>
  <Paragraphs>370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